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concuadrcula"/>
        <w:tblW w:w="10793" w:type="dxa"/>
        <w:tblInd w:w="-904" w:type="dxa"/>
        <w:tblLayout w:type="fixed"/>
        <w:tblLook w:val="04A0" w:firstRow="1" w:lastRow="0" w:firstColumn="1" w:lastColumn="0" w:noHBand="0" w:noVBand="1"/>
      </w:tblPr>
      <w:tblGrid>
        <w:gridCol w:w="1843"/>
        <w:gridCol w:w="3710"/>
        <w:gridCol w:w="2207"/>
        <w:gridCol w:w="3033"/>
      </w:tblGrid>
      <w:tr w:rsidR="00BF0387" w:rsidRPr="00BF0387" w14:paraId="0DFE9B64" w14:textId="77777777" w:rsidTr="003C4178">
        <w:trPr>
          <w:trHeight w:val="85"/>
        </w:trPr>
        <w:tc>
          <w:tcPr>
            <w:tcW w:w="1843" w:type="dxa"/>
            <w:shd w:val="clear" w:color="auto" w:fill="D9D9D9" w:themeFill="background1" w:themeFillShade="D9"/>
            <w:vAlign w:val="center"/>
          </w:tcPr>
          <w:p w14:paraId="640AC133" w14:textId="77777777" w:rsidR="004F527C" w:rsidRPr="00BF0387" w:rsidRDefault="004F527C" w:rsidP="004F527C">
            <w:pPr>
              <w:rPr>
                <w:rFonts w:ascii="Arial" w:eastAsia="Times New Roman" w:hAnsi="Arial" w:cs="Arial"/>
                <w:b/>
                <w:bCs/>
                <w:sz w:val="20"/>
                <w:szCs w:val="20"/>
                <w:lang w:eastAsia="es-CO"/>
              </w:rPr>
            </w:pPr>
            <w:r w:rsidRPr="00BF0387">
              <w:rPr>
                <w:rFonts w:ascii="Arial" w:eastAsia="Times New Roman" w:hAnsi="Arial" w:cs="Arial"/>
                <w:b/>
                <w:bCs/>
                <w:sz w:val="20"/>
                <w:szCs w:val="20"/>
                <w:lang w:eastAsia="es-CO"/>
              </w:rPr>
              <w:t>FECHA:</w:t>
            </w:r>
          </w:p>
        </w:tc>
        <w:tc>
          <w:tcPr>
            <w:tcW w:w="3710" w:type="dxa"/>
            <w:vAlign w:val="center"/>
          </w:tcPr>
          <w:p w14:paraId="0BA2AFAD" w14:textId="13EAE1A9" w:rsidR="004F527C" w:rsidRPr="00BF0387" w:rsidRDefault="00BF0387" w:rsidP="004F527C">
            <w:pPr>
              <w:jc w:val="center"/>
              <w:rPr>
                <w:rFonts w:ascii="Arial" w:eastAsia="Times New Roman" w:hAnsi="Arial" w:cs="Arial"/>
                <w:sz w:val="20"/>
                <w:szCs w:val="20"/>
                <w:lang w:eastAsia="es-CO"/>
              </w:rPr>
            </w:pPr>
            <w:r>
              <w:rPr>
                <w:rFonts w:ascii="Arial" w:eastAsia="Times New Roman" w:hAnsi="Arial" w:cs="Arial"/>
                <w:sz w:val="20"/>
                <w:szCs w:val="20"/>
                <w:lang w:eastAsia="es-CO"/>
              </w:rPr>
              <w:t>Junio</w:t>
            </w:r>
            <w:r w:rsidR="00820769">
              <w:rPr>
                <w:rFonts w:ascii="Arial" w:eastAsia="Times New Roman" w:hAnsi="Arial" w:cs="Arial"/>
                <w:sz w:val="20"/>
                <w:szCs w:val="20"/>
                <w:lang w:eastAsia="es-CO"/>
              </w:rPr>
              <w:t xml:space="preserve"> 15</w:t>
            </w:r>
            <w:r w:rsidR="00A36963">
              <w:rPr>
                <w:rFonts w:ascii="Arial" w:eastAsia="Times New Roman" w:hAnsi="Arial" w:cs="Arial"/>
                <w:sz w:val="20"/>
                <w:szCs w:val="20"/>
                <w:lang w:eastAsia="es-CO"/>
              </w:rPr>
              <w:t xml:space="preserve"> del 2023 </w:t>
            </w:r>
          </w:p>
        </w:tc>
        <w:tc>
          <w:tcPr>
            <w:tcW w:w="2207" w:type="dxa"/>
            <w:shd w:val="clear" w:color="auto" w:fill="D9D9D9" w:themeFill="background1" w:themeFillShade="D9"/>
            <w:vAlign w:val="center"/>
          </w:tcPr>
          <w:p w14:paraId="7B3A33C5" w14:textId="77777777" w:rsidR="004F527C" w:rsidRPr="00BF0387" w:rsidRDefault="004F527C" w:rsidP="004F527C">
            <w:pPr>
              <w:jc w:val="center"/>
              <w:rPr>
                <w:rFonts w:ascii="Arial" w:eastAsia="Times New Roman" w:hAnsi="Arial" w:cs="Arial"/>
                <w:b/>
                <w:bCs/>
                <w:sz w:val="20"/>
                <w:szCs w:val="20"/>
                <w:lang w:eastAsia="es-CO"/>
              </w:rPr>
            </w:pPr>
            <w:r w:rsidRPr="00BF0387">
              <w:rPr>
                <w:rFonts w:ascii="Arial" w:eastAsia="Times New Roman" w:hAnsi="Arial" w:cs="Arial"/>
                <w:b/>
                <w:bCs/>
                <w:sz w:val="20"/>
                <w:szCs w:val="20"/>
                <w:lang w:eastAsia="es-CO"/>
              </w:rPr>
              <w:t>ACTA No:</w:t>
            </w:r>
          </w:p>
        </w:tc>
        <w:tc>
          <w:tcPr>
            <w:tcW w:w="3033" w:type="dxa"/>
            <w:vAlign w:val="bottom"/>
          </w:tcPr>
          <w:p w14:paraId="02E1080D" w14:textId="5E806B50" w:rsidR="004F527C" w:rsidRPr="00BF0387" w:rsidRDefault="004F527C" w:rsidP="00D66135">
            <w:pPr>
              <w:jc w:val="center"/>
              <w:rPr>
                <w:rFonts w:ascii="Arial" w:eastAsia="Times New Roman" w:hAnsi="Arial" w:cs="Arial"/>
                <w:sz w:val="20"/>
                <w:szCs w:val="20"/>
                <w:lang w:eastAsia="es-CO"/>
              </w:rPr>
            </w:pPr>
          </w:p>
        </w:tc>
      </w:tr>
    </w:tbl>
    <w:p w14:paraId="7B9BF570" w14:textId="77777777" w:rsidR="001A614E" w:rsidRPr="00BF0387" w:rsidRDefault="001A614E" w:rsidP="00C948AE">
      <w:pPr>
        <w:pStyle w:val="Sinespaciado"/>
      </w:pPr>
    </w:p>
    <w:tbl>
      <w:tblPr>
        <w:tblStyle w:val="Tablaconcuadrcula"/>
        <w:tblW w:w="10793" w:type="dxa"/>
        <w:tblInd w:w="-904" w:type="dxa"/>
        <w:tblLayout w:type="fixed"/>
        <w:tblLook w:val="04A0" w:firstRow="1" w:lastRow="0" w:firstColumn="1" w:lastColumn="0" w:noHBand="0" w:noVBand="1"/>
      </w:tblPr>
      <w:tblGrid>
        <w:gridCol w:w="10793"/>
      </w:tblGrid>
      <w:tr w:rsidR="00BF0387" w:rsidRPr="00BF0387" w14:paraId="5B307694" w14:textId="77777777" w:rsidTr="003C4178">
        <w:trPr>
          <w:trHeight w:val="382"/>
        </w:trPr>
        <w:tc>
          <w:tcPr>
            <w:tcW w:w="10793" w:type="dxa"/>
            <w:shd w:val="clear" w:color="auto" w:fill="D9D9D9" w:themeFill="background1" w:themeFillShade="D9"/>
            <w:vAlign w:val="center"/>
          </w:tcPr>
          <w:p w14:paraId="2923BDAE" w14:textId="77777777" w:rsidR="004F527C" w:rsidRPr="00BF0387" w:rsidRDefault="004F527C" w:rsidP="004F527C">
            <w:pPr>
              <w:pStyle w:val="Sinespaciado"/>
              <w:jc w:val="center"/>
              <w:rPr>
                <w:rFonts w:ascii="Arial" w:hAnsi="Arial" w:cs="Arial"/>
                <w:b/>
                <w:sz w:val="20"/>
                <w:szCs w:val="20"/>
              </w:rPr>
            </w:pPr>
            <w:r w:rsidRPr="00BF0387">
              <w:rPr>
                <w:rFonts w:ascii="Arial" w:hAnsi="Arial" w:cs="Arial"/>
                <w:b/>
                <w:sz w:val="20"/>
                <w:szCs w:val="20"/>
                <w:lang w:eastAsia="es-CO"/>
              </w:rPr>
              <w:t>TEMA DE LA REUNIÓN</w:t>
            </w:r>
          </w:p>
        </w:tc>
      </w:tr>
      <w:tr w:rsidR="00BF0387" w:rsidRPr="00BF0387" w14:paraId="16EF3C01" w14:textId="77777777" w:rsidTr="003C4178">
        <w:trPr>
          <w:trHeight w:val="598"/>
        </w:trPr>
        <w:tc>
          <w:tcPr>
            <w:tcW w:w="10793" w:type="dxa"/>
          </w:tcPr>
          <w:p w14:paraId="6D41F8B5" w14:textId="7F0F55CF" w:rsidR="00713CEC" w:rsidRPr="00BF0387" w:rsidRDefault="00DF3C72" w:rsidP="00B27D38">
            <w:pPr>
              <w:rPr>
                <w:rFonts w:ascii="Arial Narrow" w:hAnsi="Arial Narrow" w:cs="Arial"/>
                <w:sz w:val="20"/>
                <w:szCs w:val="20"/>
              </w:rPr>
            </w:pPr>
            <w:r w:rsidRPr="00BF0387">
              <w:rPr>
                <w:rFonts w:ascii="Arial Narrow" w:hAnsi="Arial Narrow"/>
              </w:rPr>
              <w:t>Informe rendición de cuentas de la Gerencia de la Empresa Social del Estado Universitaria del Atlántico, vigencia 2022</w:t>
            </w:r>
          </w:p>
        </w:tc>
      </w:tr>
    </w:tbl>
    <w:p w14:paraId="72DDBCC4" w14:textId="77777777" w:rsidR="003771FF" w:rsidRPr="00BF0387" w:rsidRDefault="003771FF" w:rsidP="003771FF">
      <w:pPr>
        <w:pStyle w:val="Sinespaciado"/>
      </w:pPr>
    </w:p>
    <w:tbl>
      <w:tblPr>
        <w:tblStyle w:val="Tablaconcuadrcula"/>
        <w:tblW w:w="10745" w:type="dxa"/>
        <w:tblInd w:w="-856" w:type="dxa"/>
        <w:tblLayout w:type="fixed"/>
        <w:tblLook w:val="04A0" w:firstRow="1" w:lastRow="0" w:firstColumn="1" w:lastColumn="0" w:noHBand="0" w:noVBand="1"/>
      </w:tblPr>
      <w:tblGrid>
        <w:gridCol w:w="10745"/>
      </w:tblGrid>
      <w:tr w:rsidR="00BF0387" w:rsidRPr="00BF0387" w14:paraId="67DF1039" w14:textId="77777777" w:rsidTr="003C4178">
        <w:trPr>
          <w:trHeight w:val="358"/>
        </w:trPr>
        <w:tc>
          <w:tcPr>
            <w:tcW w:w="10745" w:type="dxa"/>
            <w:shd w:val="clear" w:color="auto" w:fill="D9D9D9" w:themeFill="background1" w:themeFillShade="D9"/>
            <w:vAlign w:val="center"/>
          </w:tcPr>
          <w:p w14:paraId="3F9F9334" w14:textId="77777777" w:rsidR="003771FF" w:rsidRPr="00BF0387" w:rsidRDefault="003771FF" w:rsidP="003771FF">
            <w:pPr>
              <w:pStyle w:val="Sinespaciado"/>
              <w:jc w:val="center"/>
              <w:rPr>
                <w:rFonts w:ascii="Arial" w:hAnsi="Arial" w:cs="Arial"/>
                <w:sz w:val="20"/>
                <w:szCs w:val="20"/>
              </w:rPr>
            </w:pPr>
            <w:r w:rsidRPr="00BF0387">
              <w:rPr>
                <w:rFonts w:ascii="Arial" w:eastAsia="Times New Roman" w:hAnsi="Arial" w:cs="Arial"/>
                <w:b/>
                <w:bCs/>
                <w:sz w:val="20"/>
                <w:szCs w:val="20"/>
                <w:lang w:eastAsia="es-CO"/>
              </w:rPr>
              <w:t>ORDEN DEL DIA PROGRAMADO</w:t>
            </w:r>
          </w:p>
        </w:tc>
      </w:tr>
      <w:tr w:rsidR="00BF0387" w:rsidRPr="00BF0387" w14:paraId="4FA3A323" w14:textId="77777777" w:rsidTr="00F36C60">
        <w:trPr>
          <w:trHeight w:val="2283"/>
        </w:trPr>
        <w:tc>
          <w:tcPr>
            <w:tcW w:w="10745" w:type="dxa"/>
          </w:tcPr>
          <w:p w14:paraId="0EB2216C" w14:textId="77777777" w:rsidR="00F36C60" w:rsidRPr="00BF0387" w:rsidRDefault="00F36C60" w:rsidP="00F36C60">
            <w:pPr>
              <w:pStyle w:val="Sinespaciado"/>
              <w:rPr>
                <w:rFonts w:ascii="Arial Narrow" w:hAnsi="Arial Narrow" w:cs="Arial"/>
              </w:rPr>
            </w:pPr>
          </w:p>
          <w:p w14:paraId="62B8D9F0" w14:textId="77777777" w:rsidR="00F36C60" w:rsidRPr="00BF0387" w:rsidRDefault="00F36C60" w:rsidP="00F36C60">
            <w:pPr>
              <w:pStyle w:val="Sinespaciado"/>
              <w:rPr>
                <w:rFonts w:ascii="Arial Narrow" w:hAnsi="Arial Narrow" w:cs="Arial"/>
              </w:rPr>
            </w:pPr>
            <w:r w:rsidRPr="00BF0387">
              <w:rPr>
                <w:rFonts w:ascii="Arial Narrow" w:hAnsi="Arial Narrow" w:cs="Arial"/>
              </w:rPr>
              <w:t>1. Bienvenida</w:t>
            </w:r>
          </w:p>
          <w:p w14:paraId="688DC4BF" w14:textId="77777777" w:rsidR="00F36C60" w:rsidRPr="00BF0387" w:rsidRDefault="00F36C60" w:rsidP="00F36C60">
            <w:pPr>
              <w:pStyle w:val="Sinespaciado"/>
              <w:rPr>
                <w:rFonts w:ascii="Arial Narrow" w:hAnsi="Arial Narrow" w:cs="Arial"/>
              </w:rPr>
            </w:pPr>
            <w:r w:rsidRPr="00BF0387">
              <w:rPr>
                <w:rFonts w:ascii="Arial Narrow" w:hAnsi="Arial Narrow" w:cs="Arial"/>
              </w:rPr>
              <w:t>2. Lectura del orden del día</w:t>
            </w:r>
          </w:p>
          <w:p w14:paraId="21C1B732" w14:textId="77777777" w:rsidR="00F36C60" w:rsidRPr="00BF0387" w:rsidRDefault="00F36C60" w:rsidP="00F36C60">
            <w:pPr>
              <w:pStyle w:val="Sinespaciado"/>
              <w:rPr>
                <w:rFonts w:ascii="Arial Narrow" w:hAnsi="Arial Narrow" w:cs="Arial"/>
              </w:rPr>
            </w:pPr>
            <w:r w:rsidRPr="00BF0387">
              <w:rPr>
                <w:rFonts w:ascii="Arial Narrow" w:hAnsi="Arial Narrow" w:cs="Arial"/>
              </w:rPr>
              <w:t>3. Exposición corta del reglamento de la Audiencia Pública de Rendición de Cuentas</w:t>
            </w:r>
          </w:p>
          <w:p w14:paraId="1F9DAA8B" w14:textId="77777777" w:rsidR="00F36C60" w:rsidRPr="00BF0387" w:rsidRDefault="00F36C60" w:rsidP="00F36C60">
            <w:pPr>
              <w:pStyle w:val="Sinespaciado"/>
              <w:rPr>
                <w:rFonts w:ascii="Arial Narrow" w:hAnsi="Arial Narrow" w:cs="Arial"/>
              </w:rPr>
            </w:pPr>
            <w:r w:rsidRPr="00BF0387">
              <w:rPr>
                <w:rFonts w:ascii="Arial Narrow" w:hAnsi="Arial Narrow" w:cs="Arial"/>
              </w:rPr>
              <w:t>4. Instalación de la Audiencia Pública de Rendición de Cuentas</w:t>
            </w:r>
          </w:p>
          <w:p w14:paraId="7EA464DE" w14:textId="77777777" w:rsidR="00F36C60" w:rsidRPr="00BF0387" w:rsidRDefault="00F36C60" w:rsidP="00F36C60">
            <w:pPr>
              <w:pStyle w:val="Sinespaciado"/>
              <w:rPr>
                <w:rFonts w:ascii="Arial Narrow" w:hAnsi="Arial Narrow" w:cs="Arial"/>
              </w:rPr>
            </w:pPr>
            <w:r w:rsidRPr="00BF0387">
              <w:rPr>
                <w:rFonts w:ascii="Arial Narrow" w:hAnsi="Arial Narrow" w:cs="Arial"/>
              </w:rPr>
              <w:t>5. Presentación informe de Gestión 2022 por parte de la entidad</w:t>
            </w:r>
          </w:p>
          <w:p w14:paraId="03BE98B4" w14:textId="77777777" w:rsidR="00F36C60" w:rsidRPr="00BF0387" w:rsidRDefault="00F36C60" w:rsidP="00F36C60">
            <w:pPr>
              <w:pStyle w:val="Sinespaciado"/>
              <w:rPr>
                <w:rFonts w:ascii="Arial Narrow" w:hAnsi="Arial Narrow" w:cs="Arial"/>
              </w:rPr>
            </w:pPr>
            <w:r w:rsidRPr="00BF0387">
              <w:rPr>
                <w:rFonts w:ascii="Arial Narrow" w:hAnsi="Arial Narrow" w:cs="Arial"/>
              </w:rPr>
              <w:t>6. Respuestas a las intervenciones y preguntas presentadas en la Audiencia Pública de Rendición de Cuentas</w:t>
            </w:r>
          </w:p>
          <w:p w14:paraId="737E4ED8" w14:textId="41F4F533" w:rsidR="00836EC4" w:rsidRPr="00BF0387" w:rsidRDefault="00F36C60" w:rsidP="00F36C60">
            <w:pPr>
              <w:pStyle w:val="Sinespaciado"/>
              <w:rPr>
                <w:rFonts w:ascii="Arial Narrow" w:hAnsi="Arial Narrow" w:cs="Arial"/>
                <w:sz w:val="20"/>
                <w:szCs w:val="20"/>
              </w:rPr>
            </w:pPr>
            <w:r w:rsidRPr="00BF0387">
              <w:rPr>
                <w:rFonts w:ascii="Arial Narrow" w:hAnsi="Arial Narrow" w:cs="Arial"/>
              </w:rPr>
              <w:t>7. Conclusiones y Cierre de la Audiencia Pública de Rendición de Cuentas</w:t>
            </w:r>
          </w:p>
        </w:tc>
      </w:tr>
    </w:tbl>
    <w:p w14:paraId="53B65A7E" w14:textId="77777777" w:rsidR="00B27D38" w:rsidRPr="00BF0387" w:rsidRDefault="00B27D38" w:rsidP="00C948AE">
      <w:pPr>
        <w:pStyle w:val="Sinespaciado"/>
      </w:pPr>
    </w:p>
    <w:tbl>
      <w:tblPr>
        <w:tblStyle w:val="Tablaconcuadrcula"/>
        <w:tblW w:w="10793" w:type="dxa"/>
        <w:tblInd w:w="-904" w:type="dxa"/>
        <w:tblLayout w:type="fixed"/>
        <w:tblLook w:val="04A0" w:firstRow="1" w:lastRow="0" w:firstColumn="1" w:lastColumn="0" w:noHBand="0" w:noVBand="1"/>
      </w:tblPr>
      <w:tblGrid>
        <w:gridCol w:w="10793"/>
      </w:tblGrid>
      <w:tr w:rsidR="00BF0387" w:rsidRPr="00BF0387" w14:paraId="2DCF3D67" w14:textId="77777777" w:rsidTr="003C4178">
        <w:trPr>
          <w:trHeight w:val="394"/>
        </w:trPr>
        <w:tc>
          <w:tcPr>
            <w:tcW w:w="10793" w:type="dxa"/>
            <w:shd w:val="clear" w:color="auto" w:fill="D9D9D9" w:themeFill="background1" w:themeFillShade="D9"/>
            <w:vAlign w:val="center"/>
          </w:tcPr>
          <w:p w14:paraId="15BA7961" w14:textId="77777777" w:rsidR="00C948AE" w:rsidRPr="00BF0387" w:rsidRDefault="00C948AE" w:rsidP="00C948AE">
            <w:pPr>
              <w:pStyle w:val="Sinespaciado"/>
              <w:jc w:val="center"/>
              <w:rPr>
                <w:rFonts w:ascii="Arial" w:hAnsi="Arial" w:cs="Arial"/>
                <w:b/>
                <w:sz w:val="20"/>
                <w:szCs w:val="20"/>
              </w:rPr>
            </w:pPr>
            <w:r w:rsidRPr="00BF0387">
              <w:rPr>
                <w:rFonts w:ascii="Arial" w:hAnsi="Arial" w:cs="Arial"/>
                <w:b/>
                <w:sz w:val="20"/>
                <w:szCs w:val="20"/>
                <w:lang w:eastAsia="es-CO"/>
              </w:rPr>
              <w:t>DESARROLLO</w:t>
            </w:r>
          </w:p>
        </w:tc>
      </w:tr>
      <w:tr w:rsidR="00BF0387" w:rsidRPr="00BF0387" w14:paraId="221114B0" w14:textId="77777777" w:rsidTr="003219EF">
        <w:trPr>
          <w:trHeight w:val="2460"/>
        </w:trPr>
        <w:tc>
          <w:tcPr>
            <w:tcW w:w="10793" w:type="dxa"/>
          </w:tcPr>
          <w:p w14:paraId="328788A6" w14:textId="155A9D03" w:rsidR="00F36C60" w:rsidRPr="00BF0387" w:rsidRDefault="00F36C60" w:rsidP="00F36C60">
            <w:pPr>
              <w:rPr>
                <w:rFonts w:ascii="Arial Narrow" w:hAnsi="Arial Narrow" w:cs="Arial"/>
              </w:rPr>
            </w:pPr>
            <w:r w:rsidRPr="00BF0387">
              <w:rPr>
                <w:rFonts w:ascii="Arial Narrow" w:hAnsi="Arial Narrow" w:cs="Arial"/>
              </w:rPr>
              <w:t>Siendo las 8:</w:t>
            </w:r>
            <w:r w:rsidR="00A36963">
              <w:rPr>
                <w:rFonts w:ascii="Arial Narrow" w:hAnsi="Arial Narrow" w:cs="Arial"/>
              </w:rPr>
              <w:t>0</w:t>
            </w:r>
            <w:r w:rsidRPr="00BF0387">
              <w:rPr>
                <w:rFonts w:ascii="Arial Narrow" w:hAnsi="Arial Narrow" w:cs="Arial"/>
              </w:rPr>
              <w:t xml:space="preserve">0 am del día </w:t>
            </w:r>
            <w:r w:rsidR="00B34454" w:rsidRPr="00BF0387">
              <w:rPr>
                <w:rFonts w:ascii="Arial Narrow" w:hAnsi="Arial Narrow" w:cs="Arial"/>
              </w:rPr>
              <w:t>9</w:t>
            </w:r>
            <w:r w:rsidRPr="00BF0387">
              <w:rPr>
                <w:rFonts w:ascii="Arial Narrow" w:hAnsi="Arial Narrow" w:cs="Arial"/>
              </w:rPr>
              <w:t xml:space="preserve"> de ju</w:t>
            </w:r>
            <w:r w:rsidR="00B34454" w:rsidRPr="00BF0387">
              <w:rPr>
                <w:rFonts w:ascii="Arial Narrow" w:hAnsi="Arial Narrow" w:cs="Arial"/>
              </w:rPr>
              <w:t>ni</w:t>
            </w:r>
            <w:r w:rsidRPr="00BF0387">
              <w:rPr>
                <w:rFonts w:ascii="Arial Narrow" w:hAnsi="Arial Narrow" w:cs="Arial"/>
              </w:rPr>
              <w:t>o de 202</w:t>
            </w:r>
            <w:r w:rsidR="00B34454" w:rsidRPr="00BF0387">
              <w:rPr>
                <w:rFonts w:ascii="Arial Narrow" w:hAnsi="Arial Narrow" w:cs="Arial"/>
              </w:rPr>
              <w:t>3</w:t>
            </w:r>
            <w:r w:rsidRPr="00BF0387">
              <w:rPr>
                <w:rFonts w:ascii="Arial Narrow" w:hAnsi="Arial Narrow" w:cs="Arial"/>
              </w:rPr>
              <w:t xml:space="preserve">, en la </w:t>
            </w:r>
            <w:r w:rsidR="00B34454" w:rsidRPr="00BF0387">
              <w:rPr>
                <w:rFonts w:ascii="Arial Narrow" w:hAnsi="Arial Narrow" w:cs="Arial"/>
              </w:rPr>
              <w:t xml:space="preserve">oficina de gerencia </w:t>
            </w:r>
            <w:r w:rsidRPr="00BF0387">
              <w:rPr>
                <w:rFonts w:ascii="Arial Narrow" w:hAnsi="Arial Narrow" w:cs="Arial"/>
              </w:rPr>
              <w:t>de la ESE UNIVERSITARIA DEL ATLANTICO, se</w:t>
            </w:r>
          </w:p>
          <w:p w14:paraId="149211D0" w14:textId="1E27E2E1" w:rsidR="00F36C60" w:rsidRPr="00BF0387" w:rsidRDefault="00F36C60" w:rsidP="00F36C60">
            <w:pPr>
              <w:rPr>
                <w:rFonts w:ascii="Arial Narrow" w:hAnsi="Arial Narrow" w:cs="Arial"/>
              </w:rPr>
            </w:pPr>
            <w:r w:rsidRPr="00BF0387">
              <w:rPr>
                <w:rFonts w:ascii="Arial Narrow" w:hAnsi="Arial Narrow" w:cs="Arial"/>
              </w:rPr>
              <w:t xml:space="preserve">inicia, a través de la plataforma </w:t>
            </w:r>
            <w:r w:rsidR="00B34454" w:rsidRPr="00BF0387">
              <w:rPr>
                <w:rFonts w:ascii="Arial Narrow" w:hAnsi="Arial Narrow" w:cs="Arial"/>
              </w:rPr>
              <w:t>definida,</w:t>
            </w:r>
            <w:r w:rsidRPr="00BF0387">
              <w:rPr>
                <w:rFonts w:ascii="Arial Narrow" w:hAnsi="Arial Narrow" w:cs="Arial"/>
              </w:rPr>
              <w:t xml:space="preserve"> la rendición de cuentas a la comunidad.</w:t>
            </w:r>
          </w:p>
          <w:p w14:paraId="20505FE4" w14:textId="77777777" w:rsidR="00B34454" w:rsidRPr="00BF0387" w:rsidRDefault="00B34454" w:rsidP="00F36C60">
            <w:pPr>
              <w:rPr>
                <w:rFonts w:ascii="Arial Narrow" w:hAnsi="Arial Narrow" w:cs="Arial"/>
              </w:rPr>
            </w:pPr>
          </w:p>
          <w:p w14:paraId="42C2134E" w14:textId="1671D841" w:rsidR="00F36C60" w:rsidRPr="00BF0387" w:rsidRDefault="00F36C60" w:rsidP="00F36C60">
            <w:pPr>
              <w:rPr>
                <w:rFonts w:ascii="Arial Narrow" w:hAnsi="Arial Narrow" w:cs="Arial"/>
              </w:rPr>
            </w:pPr>
            <w:r w:rsidRPr="00BF0387">
              <w:rPr>
                <w:rFonts w:ascii="Arial Narrow" w:hAnsi="Arial Narrow" w:cs="Arial"/>
              </w:rPr>
              <w:t xml:space="preserve">Comienza, con la presentación, </w:t>
            </w:r>
            <w:r w:rsidR="00B34454" w:rsidRPr="00BF0387">
              <w:rPr>
                <w:rFonts w:ascii="Arial Narrow" w:hAnsi="Arial Narrow" w:cs="Arial"/>
              </w:rPr>
              <w:t>la presentadora de</w:t>
            </w:r>
            <w:r w:rsidRPr="00BF0387">
              <w:rPr>
                <w:rFonts w:ascii="Arial Narrow" w:hAnsi="Arial Narrow" w:cs="Arial"/>
              </w:rPr>
              <w:t xml:space="preserve"> la reunión, quien explica la dinámica para garantizar el orden:</w:t>
            </w:r>
          </w:p>
          <w:p w14:paraId="2A6B80C3" w14:textId="77777777" w:rsidR="00F36C60" w:rsidRPr="00BF0387" w:rsidRDefault="00F36C60" w:rsidP="00F36C60">
            <w:pPr>
              <w:rPr>
                <w:rFonts w:ascii="Arial Narrow" w:hAnsi="Arial Narrow" w:cs="Arial"/>
              </w:rPr>
            </w:pPr>
            <w:r w:rsidRPr="00BF0387">
              <w:rPr>
                <w:rFonts w:ascii="Arial Narrow" w:hAnsi="Arial Narrow" w:cs="Arial"/>
              </w:rPr>
              <w:t>• Presenta el orden del día.</w:t>
            </w:r>
          </w:p>
          <w:p w14:paraId="7937821E" w14:textId="644DB732" w:rsidR="00F36C60" w:rsidRPr="00BF0387" w:rsidRDefault="00F36C60" w:rsidP="00F36C60">
            <w:pPr>
              <w:rPr>
                <w:rFonts w:ascii="Arial Narrow" w:hAnsi="Arial Narrow" w:cs="Arial"/>
              </w:rPr>
            </w:pPr>
            <w:r w:rsidRPr="00BF0387">
              <w:rPr>
                <w:rFonts w:ascii="Arial Narrow" w:hAnsi="Arial Narrow" w:cs="Arial"/>
              </w:rPr>
              <w:t>• Explica las reglas</w:t>
            </w:r>
            <w:r w:rsidR="00B34454" w:rsidRPr="00BF0387">
              <w:rPr>
                <w:rFonts w:ascii="Arial Narrow" w:hAnsi="Arial Narrow" w:cs="Arial"/>
              </w:rPr>
              <w:t xml:space="preserve"> y objetivos</w:t>
            </w:r>
            <w:r w:rsidRPr="00BF0387">
              <w:rPr>
                <w:rFonts w:ascii="Arial Narrow" w:hAnsi="Arial Narrow" w:cs="Arial"/>
              </w:rPr>
              <w:t xml:space="preserve"> para el desarrollo de la Audiencia Pública de Rendición de Cuentas.</w:t>
            </w:r>
          </w:p>
          <w:p w14:paraId="2CC9C3BB" w14:textId="77777777" w:rsidR="00F36C60" w:rsidRPr="00BF0387" w:rsidRDefault="00F36C60" w:rsidP="00F36C60">
            <w:pPr>
              <w:rPr>
                <w:rFonts w:ascii="Arial Narrow" w:hAnsi="Arial Narrow" w:cs="Arial"/>
              </w:rPr>
            </w:pPr>
            <w:r w:rsidRPr="00BF0387">
              <w:rPr>
                <w:rFonts w:ascii="Arial Narrow" w:hAnsi="Arial Narrow" w:cs="Arial"/>
              </w:rPr>
              <w:t>• Explica que las intervenciones por los asistentes serán sobre el tema que trate.</w:t>
            </w:r>
          </w:p>
          <w:p w14:paraId="7EECD5DC" w14:textId="77777777" w:rsidR="00B34454" w:rsidRPr="00BF0387" w:rsidRDefault="00B34454" w:rsidP="00F36C60">
            <w:pPr>
              <w:rPr>
                <w:rFonts w:ascii="Arial Narrow" w:hAnsi="Arial Narrow" w:cs="Arial"/>
              </w:rPr>
            </w:pPr>
          </w:p>
          <w:p w14:paraId="5366AC0F" w14:textId="77499C91" w:rsidR="00F36C60" w:rsidRPr="00BF0387" w:rsidRDefault="00F36C60" w:rsidP="00F36C60">
            <w:pPr>
              <w:rPr>
                <w:rFonts w:ascii="Arial Narrow" w:hAnsi="Arial Narrow" w:cs="Arial"/>
              </w:rPr>
            </w:pPr>
            <w:r w:rsidRPr="00BF0387">
              <w:rPr>
                <w:rFonts w:ascii="Arial Narrow" w:hAnsi="Arial Narrow" w:cs="Arial"/>
              </w:rPr>
              <w:t xml:space="preserve">1- Presentación informe de Gestión </w:t>
            </w:r>
            <w:r w:rsidR="00B34454" w:rsidRPr="00BF0387">
              <w:rPr>
                <w:rFonts w:ascii="Arial Narrow" w:hAnsi="Arial Narrow" w:cs="Arial"/>
              </w:rPr>
              <w:t>2022.</w:t>
            </w:r>
          </w:p>
          <w:p w14:paraId="24E38E19" w14:textId="77193739" w:rsidR="00F36C60" w:rsidRPr="00BF0387" w:rsidRDefault="00F36C60" w:rsidP="00B34454">
            <w:pPr>
              <w:jc w:val="both"/>
              <w:rPr>
                <w:rFonts w:ascii="Arial Narrow" w:hAnsi="Arial Narrow" w:cs="Arial"/>
              </w:rPr>
            </w:pPr>
            <w:r w:rsidRPr="00BF0387">
              <w:rPr>
                <w:rFonts w:ascii="Arial Narrow" w:hAnsi="Arial Narrow" w:cs="Arial"/>
              </w:rPr>
              <w:t xml:space="preserve">El gerente de la ESE UNIVERSITARIA DEL ATLANTICO, Dr. </w:t>
            </w:r>
            <w:r w:rsidR="00B34454" w:rsidRPr="00BF0387">
              <w:rPr>
                <w:rFonts w:ascii="Arial Narrow" w:hAnsi="Arial Narrow" w:cs="Arial"/>
              </w:rPr>
              <w:t xml:space="preserve">Javier </w:t>
            </w:r>
            <w:r w:rsidR="00E54758" w:rsidRPr="00BF0387">
              <w:rPr>
                <w:rFonts w:ascii="Arial Narrow" w:hAnsi="Arial Narrow" w:cs="Arial"/>
              </w:rPr>
              <w:t>Cormane,</w:t>
            </w:r>
            <w:r w:rsidRPr="00BF0387">
              <w:rPr>
                <w:rFonts w:ascii="Arial Narrow" w:hAnsi="Arial Narrow" w:cs="Arial"/>
              </w:rPr>
              <w:t xml:space="preserve"> inicia la rendición de cuentas a la comunidad,</w:t>
            </w:r>
            <w:r w:rsidR="001B168F" w:rsidRPr="00BF0387">
              <w:rPr>
                <w:rFonts w:ascii="Arial Narrow" w:hAnsi="Arial Narrow" w:cs="Arial"/>
              </w:rPr>
              <w:t xml:space="preserve"> describiendo la operación de la entidad, la consolidación de la oferta de servicios y las actividades asistenciales y administrativas </w:t>
            </w:r>
            <w:r w:rsidR="00D84E42" w:rsidRPr="00BF0387">
              <w:rPr>
                <w:rFonts w:ascii="Arial Narrow" w:hAnsi="Arial Narrow" w:cs="Arial"/>
              </w:rPr>
              <w:t>implementadas y desarrolladas en aras de prestar servicios con calidad y oportunidad a los usuarios del departamento del Atlántico.</w:t>
            </w:r>
            <w:r w:rsidR="00B377C8" w:rsidRPr="00BF0387">
              <w:rPr>
                <w:rFonts w:ascii="Arial Narrow" w:hAnsi="Arial Narrow" w:cs="Arial"/>
              </w:rPr>
              <w:t xml:space="preserve"> menciona de igual forma la apertura de los servicios realizados en las diferentes sedes y la próxima apertura de la nueva sede Soledad, actualmente en construcción.</w:t>
            </w:r>
          </w:p>
          <w:p w14:paraId="62C4A399" w14:textId="439C9349" w:rsidR="00706086" w:rsidRPr="00BF0387" w:rsidRDefault="00B377C8" w:rsidP="00B34454">
            <w:pPr>
              <w:jc w:val="both"/>
              <w:rPr>
                <w:rFonts w:ascii="Arial Narrow" w:hAnsi="Arial Narrow" w:cs="Arial"/>
              </w:rPr>
            </w:pPr>
            <w:r w:rsidRPr="00BF0387">
              <w:rPr>
                <w:rFonts w:ascii="Arial Narrow" w:hAnsi="Arial Narrow" w:cs="Arial"/>
              </w:rPr>
              <w:t xml:space="preserve">Refiere de igual manera las ocupaciones presentadas en las sedes, y la asignación como HOSPITAL PADRINO para la atención de gestantes en riesgo y del recién nacido con complicaciones donde se atienden usuarios del departamento del </w:t>
            </w:r>
            <w:r w:rsidR="00E54758" w:rsidRPr="00BF0387">
              <w:rPr>
                <w:rFonts w:ascii="Arial Narrow" w:hAnsi="Arial Narrow" w:cs="Arial"/>
              </w:rPr>
              <w:t>Atlántico,</w:t>
            </w:r>
            <w:r w:rsidRPr="00BF0387">
              <w:rPr>
                <w:rFonts w:ascii="Arial Narrow" w:hAnsi="Arial Narrow" w:cs="Arial"/>
              </w:rPr>
              <w:t xml:space="preserve"> Norte del departamento de </w:t>
            </w:r>
            <w:r w:rsidR="00E423B8" w:rsidRPr="00BF0387">
              <w:rPr>
                <w:rFonts w:ascii="Arial Narrow" w:hAnsi="Arial Narrow" w:cs="Arial"/>
              </w:rPr>
              <w:t>Bolívar. De</w:t>
            </w:r>
            <w:r w:rsidR="00706086" w:rsidRPr="00BF0387">
              <w:rPr>
                <w:rFonts w:ascii="Arial Narrow" w:hAnsi="Arial Narrow" w:cs="Arial"/>
              </w:rPr>
              <w:t xml:space="preserve"> igual manera hace referencia a aspectos financieros como son componente de facturación</w:t>
            </w:r>
            <w:r w:rsidR="00394CC7" w:rsidRPr="00BF0387">
              <w:rPr>
                <w:rFonts w:ascii="Arial Narrow" w:hAnsi="Arial Narrow" w:cs="Arial"/>
              </w:rPr>
              <w:t>.</w:t>
            </w:r>
          </w:p>
          <w:p w14:paraId="6F34CD75" w14:textId="2E5C4CAE" w:rsidR="00394CC7" w:rsidRPr="00BF0387" w:rsidRDefault="00394CC7" w:rsidP="00B34454">
            <w:pPr>
              <w:jc w:val="both"/>
              <w:rPr>
                <w:rFonts w:ascii="Arial Narrow" w:eastAsia="Arial Nova" w:hAnsi="Arial Narrow" w:cs="Arial Nova"/>
              </w:rPr>
            </w:pPr>
            <w:r w:rsidRPr="00BF0387">
              <w:rPr>
                <w:rFonts w:ascii="Arial Narrow" w:hAnsi="Arial Narrow" w:cs="Arial"/>
              </w:rPr>
              <w:t xml:space="preserve">Luego de la intervención del Dr. Cormane la presentadora del evento da paso a la Dra. Leonor Pérez, subgerente científico de la institución a quien corresponde presentar el componente asistencial y </w:t>
            </w:r>
            <w:r w:rsidRPr="00BF0387">
              <w:rPr>
                <w:rFonts w:ascii="Arial Narrow" w:eastAsia="Arial Nova" w:hAnsi="Arial Narrow" w:cs="Arial Nova"/>
              </w:rPr>
              <w:t>la gestión en la prestación de servicios de salud.</w:t>
            </w:r>
            <w:r w:rsidR="00E54758" w:rsidRPr="00BF0387">
              <w:rPr>
                <w:rFonts w:ascii="Arial Narrow" w:eastAsia="Arial Nova" w:hAnsi="Arial Narrow" w:cs="Arial Nova"/>
              </w:rPr>
              <w:t xml:space="preserve"> Iniciando con una exposición detallada de la oferta actual habilitada en cada una de las sedes de la </w:t>
            </w:r>
            <w:r w:rsidR="00E423B8" w:rsidRPr="00BF0387">
              <w:rPr>
                <w:rFonts w:ascii="Arial Narrow" w:eastAsia="Arial Nova" w:hAnsi="Arial Narrow" w:cs="Arial Nova"/>
              </w:rPr>
              <w:t>ESE,</w:t>
            </w:r>
            <w:r w:rsidR="00C643D0" w:rsidRPr="00BF0387">
              <w:rPr>
                <w:rFonts w:ascii="Arial Narrow" w:eastAsia="Arial Nova" w:hAnsi="Arial Narrow" w:cs="Arial Nova"/>
              </w:rPr>
              <w:t xml:space="preserve"> especialidades y subespecialidades.</w:t>
            </w:r>
          </w:p>
          <w:p w14:paraId="71298468" w14:textId="49A4374A" w:rsidR="005F4F9A" w:rsidRPr="00BF0387" w:rsidRDefault="00EF7E47" w:rsidP="00B34454">
            <w:pPr>
              <w:jc w:val="both"/>
              <w:rPr>
                <w:rFonts w:ascii="Arial Narrow" w:eastAsia="Arial Nova" w:hAnsi="Arial Narrow" w:cs="Arial Nova"/>
              </w:rPr>
            </w:pPr>
            <w:r w:rsidRPr="00BF0387">
              <w:rPr>
                <w:rFonts w:ascii="Arial Narrow" w:eastAsia="Arial Nova" w:hAnsi="Arial Narrow" w:cs="Arial Nova"/>
              </w:rPr>
              <w:t xml:space="preserve">Hace referencia a la capacidad instalada de la </w:t>
            </w:r>
            <w:r w:rsidR="00E423B8" w:rsidRPr="00BF0387">
              <w:rPr>
                <w:rFonts w:ascii="Arial Narrow" w:eastAsia="Arial Nova" w:hAnsi="Arial Narrow" w:cs="Arial Nova"/>
              </w:rPr>
              <w:t>red que</w:t>
            </w:r>
            <w:r w:rsidRPr="00BF0387">
              <w:rPr>
                <w:rFonts w:ascii="Arial Narrow" w:eastAsia="Arial Nova" w:hAnsi="Arial Narrow" w:cs="Arial Nova"/>
              </w:rPr>
              <w:t xml:space="preserve"> ha aumentado </w:t>
            </w:r>
            <w:r w:rsidR="00E423B8" w:rsidRPr="00BF0387">
              <w:rPr>
                <w:rFonts w:ascii="Arial Narrow" w:eastAsia="Arial Nova" w:hAnsi="Arial Narrow" w:cs="Arial Nova"/>
              </w:rPr>
              <w:t>de acuerdo con</w:t>
            </w:r>
            <w:r w:rsidRPr="00BF0387">
              <w:rPr>
                <w:rFonts w:ascii="Arial Narrow" w:eastAsia="Arial Nova" w:hAnsi="Arial Narrow" w:cs="Arial Nova"/>
              </w:rPr>
              <w:t xml:space="preserve"> las necesidades evidenciadas asistencialmente uci neonatal </w:t>
            </w:r>
            <w:r w:rsidR="00E423B8" w:rsidRPr="00BF0387">
              <w:rPr>
                <w:rFonts w:ascii="Arial Narrow" w:eastAsia="Arial Nova" w:hAnsi="Arial Narrow" w:cs="Arial Nova"/>
              </w:rPr>
              <w:t>Aperturada</w:t>
            </w:r>
            <w:r w:rsidRPr="00BF0387">
              <w:rPr>
                <w:rFonts w:ascii="Arial Narrow" w:eastAsia="Arial Nova" w:hAnsi="Arial Narrow" w:cs="Arial Nova"/>
              </w:rPr>
              <w:t xml:space="preserve"> </w:t>
            </w:r>
            <w:r w:rsidR="00E423B8" w:rsidRPr="00BF0387">
              <w:rPr>
                <w:rFonts w:ascii="Arial Narrow" w:eastAsia="Arial Nova" w:hAnsi="Arial Narrow" w:cs="Arial Nova"/>
              </w:rPr>
              <w:t>con</w:t>
            </w:r>
            <w:r w:rsidRPr="00BF0387">
              <w:rPr>
                <w:rFonts w:ascii="Arial Narrow" w:eastAsia="Arial Nova" w:hAnsi="Arial Narrow" w:cs="Arial Nova"/>
              </w:rPr>
              <w:t xml:space="preserve"> 30</w:t>
            </w:r>
            <w:r w:rsidR="00346646" w:rsidRPr="00BF0387">
              <w:rPr>
                <w:rFonts w:ascii="Arial Narrow" w:eastAsia="Arial Nova" w:hAnsi="Arial Narrow" w:cs="Arial Nova"/>
              </w:rPr>
              <w:t xml:space="preserve"> </w:t>
            </w:r>
            <w:r w:rsidRPr="00BF0387">
              <w:rPr>
                <w:rFonts w:ascii="Arial Narrow" w:eastAsia="Arial Nova" w:hAnsi="Arial Narrow" w:cs="Arial Nova"/>
              </w:rPr>
              <w:t>camas</w:t>
            </w:r>
            <w:r w:rsidR="00346646" w:rsidRPr="00BF0387">
              <w:rPr>
                <w:rFonts w:ascii="Arial Narrow" w:eastAsia="Arial Nova" w:hAnsi="Arial Narrow" w:cs="Arial Nova"/>
              </w:rPr>
              <w:t xml:space="preserve"> (15 camas de cuidado intensivo, 10 cuidado intermedio y 5 de cuidados básicos)</w:t>
            </w:r>
            <w:r w:rsidR="0070420E" w:rsidRPr="00BF0387">
              <w:rPr>
                <w:rFonts w:ascii="Arial Narrow" w:eastAsia="Arial Nova" w:hAnsi="Arial Narrow" w:cs="Arial Nova"/>
              </w:rPr>
              <w:t xml:space="preserve">, uci pediátrica con 14 </w:t>
            </w:r>
            <w:r w:rsidR="00E423B8" w:rsidRPr="00BF0387">
              <w:rPr>
                <w:rFonts w:ascii="Arial Narrow" w:eastAsia="Arial Nova" w:hAnsi="Arial Narrow" w:cs="Arial Nova"/>
              </w:rPr>
              <w:t>camas.</w:t>
            </w:r>
          </w:p>
          <w:p w14:paraId="2F073D45" w14:textId="3BE9E3A1" w:rsidR="0070420E" w:rsidRPr="00BF0387" w:rsidRDefault="0070420E" w:rsidP="00B34454">
            <w:pPr>
              <w:jc w:val="both"/>
              <w:rPr>
                <w:rFonts w:ascii="Arial Narrow" w:eastAsia="Arial Nova" w:hAnsi="Arial Narrow" w:cs="Arial Nova"/>
              </w:rPr>
            </w:pPr>
            <w:r w:rsidRPr="00BF0387">
              <w:rPr>
                <w:rFonts w:ascii="Arial Narrow" w:eastAsia="Arial Nova" w:hAnsi="Arial Narrow" w:cs="Arial Nova"/>
              </w:rPr>
              <w:t>Hace referencia de igual forma a la morbilidad institucional encontrándose que las diez primeras causas de morbilidad institucional son la infección de vías urinarias con un 19.58%, esquizofrenia paranoide con un 15.42%, bronquiolitis aguda no especificada con un 13.72%, Fiebre no especificada</w:t>
            </w:r>
            <w:r w:rsidR="00E423B8" w:rsidRPr="00BF0387">
              <w:rPr>
                <w:rFonts w:ascii="Arial Narrow" w:eastAsia="Arial Nova" w:hAnsi="Arial Narrow" w:cs="Arial Nova"/>
              </w:rPr>
              <w:t xml:space="preserve"> con un 11.95%, diarrea y gastroenteritis de origen infeccioso con un 8.65%, fiebre del dengue con un </w:t>
            </w:r>
            <w:r w:rsidR="00E423B8" w:rsidRPr="00BF0387">
              <w:rPr>
                <w:rFonts w:ascii="Arial Narrow" w:eastAsia="Arial Nova" w:hAnsi="Arial Narrow" w:cs="Arial Nova"/>
              </w:rPr>
              <w:lastRenderedPageBreak/>
              <w:t>7.27%, embarazo confirmado con un 6.54%, asma no especificada con un 6.44%, neumonía no especificada con un 5.25% y dolor abdominal localizado en parte superior 5.17%.</w:t>
            </w:r>
          </w:p>
          <w:p w14:paraId="09D889F1" w14:textId="05FE24CD" w:rsidR="00E423B8" w:rsidRPr="00BF0387" w:rsidRDefault="00E423B8" w:rsidP="00B34454">
            <w:pPr>
              <w:jc w:val="both"/>
              <w:rPr>
                <w:rFonts w:ascii="Arial Narrow" w:eastAsia="Arial Nova" w:hAnsi="Arial Narrow" w:cs="Arial Nova"/>
              </w:rPr>
            </w:pPr>
            <w:r w:rsidRPr="00BF0387">
              <w:rPr>
                <w:rFonts w:ascii="Arial Narrow" w:eastAsia="Arial Nova" w:hAnsi="Arial Narrow" w:cs="Arial Nova"/>
              </w:rPr>
              <w:t xml:space="preserve">Seguidamente la </w:t>
            </w:r>
            <w:r w:rsidR="009010EC" w:rsidRPr="00BF0387">
              <w:rPr>
                <w:rFonts w:ascii="Arial Narrow" w:eastAsia="Arial Nova" w:hAnsi="Arial Narrow" w:cs="Arial Nova"/>
              </w:rPr>
              <w:t>Dra.</w:t>
            </w:r>
            <w:r w:rsidRPr="00BF0387">
              <w:rPr>
                <w:rFonts w:ascii="Arial Narrow" w:eastAsia="Arial Nova" w:hAnsi="Arial Narrow" w:cs="Arial Nova"/>
              </w:rPr>
              <w:t xml:space="preserve"> Leonor hace referencia a la producción institucional iniciando con los porcentajes </w:t>
            </w:r>
            <w:r w:rsidR="001D02FD" w:rsidRPr="00BF0387">
              <w:rPr>
                <w:rFonts w:ascii="Arial Narrow" w:eastAsia="Arial Nova" w:hAnsi="Arial Narrow" w:cs="Arial Nova"/>
              </w:rPr>
              <w:t>de ocupación</w:t>
            </w:r>
            <w:r w:rsidRPr="00BF0387">
              <w:rPr>
                <w:rFonts w:ascii="Arial Narrow" w:eastAsia="Arial Nova" w:hAnsi="Arial Narrow" w:cs="Arial Nova"/>
              </w:rPr>
              <w:t xml:space="preserve"> de cada una de las </w:t>
            </w:r>
            <w:r w:rsidR="002D653B" w:rsidRPr="00BF0387">
              <w:rPr>
                <w:rFonts w:ascii="Arial Narrow" w:eastAsia="Arial Nova" w:hAnsi="Arial Narrow" w:cs="Arial Nova"/>
              </w:rPr>
              <w:t>sedes:</w:t>
            </w:r>
            <w:r w:rsidRPr="00BF0387">
              <w:rPr>
                <w:rFonts w:ascii="Arial Narrow" w:eastAsia="Arial Nova" w:hAnsi="Arial Narrow" w:cs="Arial Nova"/>
              </w:rPr>
              <w:t xml:space="preserve"> cace pediátrico 66.19%, cace alta complejidad con un 79.44%, cace mental con un 85.92%, </w:t>
            </w:r>
            <w:r w:rsidR="009010EC">
              <w:rPr>
                <w:rFonts w:ascii="Arial Narrow" w:eastAsia="Arial Nova" w:hAnsi="Arial Narrow" w:cs="Arial Nova"/>
              </w:rPr>
              <w:t>CACR</w:t>
            </w:r>
            <w:r w:rsidRPr="00BF0387">
              <w:rPr>
                <w:rFonts w:ascii="Arial Narrow" w:eastAsia="Arial Nova" w:hAnsi="Arial Narrow" w:cs="Arial Nova"/>
              </w:rPr>
              <w:t xml:space="preserve"> </w:t>
            </w:r>
            <w:r w:rsidR="009010EC">
              <w:rPr>
                <w:rFonts w:ascii="Arial Narrow" w:eastAsia="Arial Nova" w:hAnsi="Arial Narrow" w:cs="Arial Nova"/>
              </w:rPr>
              <w:t>S</w:t>
            </w:r>
            <w:r w:rsidRPr="00BF0387">
              <w:rPr>
                <w:rFonts w:ascii="Arial Narrow" w:eastAsia="Arial Nova" w:hAnsi="Arial Narrow" w:cs="Arial Nova"/>
              </w:rPr>
              <w:t xml:space="preserve">oledad con un 18.17% y </w:t>
            </w:r>
            <w:r w:rsidR="009010EC">
              <w:rPr>
                <w:rFonts w:ascii="Arial Narrow" w:eastAsia="Arial Nova" w:hAnsi="Arial Narrow" w:cs="Arial Nova"/>
              </w:rPr>
              <w:t xml:space="preserve">CACR </w:t>
            </w:r>
            <w:r w:rsidRPr="00BF0387">
              <w:rPr>
                <w:rFonts w:ascii="Arial Narrow" w:eastAsia="Arial Nova" w:hAnsi="Arial Narrow" w:cs="Arial Nova"/>
              </w:rPr>
              <w:t>Sabanalarga con un 64.15%.</w:t>
            </w:r>
          </w:p>
          <w:p w14:paraId="56F3DB7E" w14:textId="517F277B" w:rsidR="00E423B8" w:rsidRPr="00BF0387" w:rsidRDefault="00E423B8" w:rsidP="00E423B8">
            <w:pPr>
              <w:jc w:val="both"/>
              <w:rPr>
                <w:rFonts w:ascii="Arial Narrow" w:eastAsia="Arial Nova" w:hAnsi="Arial Narrow" w:cs="Arial Nova"/>
              </w:rPr>
            </w:pPr>
            <w:r w:rsidRPr="00BF0387">
              <w:rPr>
                <w:rFonts w:ascii="Arial Narrow" w:eastAsia="Arial Nova" w:hAnsi="Arial Narrow" w:cs="Arial Nova"/>
              </w:rPr>
              <w:t xml:space="preserve">Sigue con el promedio de estancia cace pediátrico 4 días cace alta complejidad con 4.6 días, cace mental con 30 días, </w:t>
            </w:r>
            <w:r w:rsidR="009010EC">
              <w:rPr>
                <w:rFonts w:ascii="Arial Narrow" w:eastAsia="Arial Nova" w:hAnsi="Arial Narrow" w:cs="Arial Nova"/>
              </w:rPr>
              <w:t>CACR</w:t>
            </w:r>
            <w:r w:rsidRPr="00BF0387">
              <w:rPr>
                <w:rFonts w:ascii="Arial Narrow" w:eastAsia="Arial Nova" w:hAnsi="Arial Narrow" w:cs="Arial Nova"/>
              </w:rPr>
              <w:t xml:space="preserve"> </w:t>
            </w:r>
            <w:r w:rsidR="009010EC">
              <w:rPr>
                <w:rFonts w:ascii="Arial Narrow" w:eastAsia="Arial Nova" w:hAnsi="Arial Narrow" w:cs="Arial Nova"/>
              </w:rPr>
              <w:t>S</w:t>
            </w:r>
            <w:r w:rsidRPr="00BF0387">
              <w:rPr>
                <w:rFonts w:ascii="Arial Narrow" w:eastAsia="Arial Nova" w:hAnsi="Arial Narrow" w:cs="Arial Nova"/>
              </w:rPr>
              <w:t xml:space="preserve">oledad con 1.4 </w:t>
            </w:r>
            <w:r w:rsidR="001D02FD" w:rsidRPr="00BF0387">
              <w:rPr>
                <w:rFonts w:ascii="Arial Narrow" w:eastAsia="Arial Nova" w:hAnsi="Arial Narrow" w:cs="Arial Nova"/>
              </w:rPr>
              <w:t>días y</w:t>
            </w:r>
            <w:r w:rsidRPr="00BF0387">
              <w:rPr>
                <w:rFonts w:ascii="Arial Narrow" w:eastAsia="Arial Nova" w:hAnsi="Arial Narrow" w:cs="Arial Nova"/>
              </w:rPr>
              <w:t xml:space="preserve"> </w:t>
            </w:r>
            <w:r w:rsidR="009010EC">
              <w:rPr>
                <w:rFonts w:ascii="Arial Narrow" w:eastAsia="Arial Nova" w:hAnsi="Arial Narrow" w:cs="Arial Nova"/>
              </w:rPr>
              <w:t>CACR</w:t>
            </w:r>
            <w:r w:rsidRPr="00BF0387">
              <w:rPr>
                <w:rFonts w:ascii="Arial Narrow" w:eastAsia="Arial Nova" w:hAnsi="Arial Narrow" w:cs="Arial Nova"/>
              </w:rPr>
              <w:t xml:space="preserve"> Sabanalarga con 3.2 días.</w:t>
            </w:r>
          </w:p>
          <w:p w14:paraId="358CB1D4" w14:textId="0EFCD6CC" w:rsidR="001D02FD" w:rsidRPr="00BF0387" w:rsidRDefault="001D02FD" w:rsidP="001D02FD">
            <w:pPr>
              <w:jc w:val="both"/>
              <w:rPr>
                <w:rFonts w:ascii="Arial Narrow" w:eastAsia="Arial Nova" w:hAnsi="Arial Narrow" w:cs="Arial Nova"/>
              </w:rPr>
            </w:pPr>
            <w:r w:rsidRPr="00BF0387">
              <w:rPr>
                <w:rFonts w:ascii="Arial Narrow" w:eastAsia="Arial Nova" w:hAnsi="Arial Narrow" w:cs="Arial Nova"/>
              </w:rPr>
              <w:t xml:space="preserve">El giro cama se observó para la vigencia 2022 </w:t>
            </w:r>
            <w:r w:rsidR="009010EC" w:rsidRPr="00BF0387">
              <w:rPr>
                <w:rFonts w:ascii="Arial Narrow" w:eastAsia="Arial Nova" w:hAnsi="Arial Narrow" w:cs="Arial Nova"/>
              </w:rPr>
              <w:t>así</w:t>
            </w:r>
            <w:r w:rsidRPr="00BF0387">
              <w:rPr>
                <w:rFonts w:ascii="Arial Narrow" w:eastAsia="Arial Nova" w:hAnsi="Arial Narrow" w:cs="Arial Nova"/>
              </w:rPr>
              <w:t xml:space="preserve">: cace pediátrico 12.1 días cace alta complejidad con 7.8 días, cace mental con 3.4 días, </w:t>
            </w:r>
            <w:r w:rsidR="009010EC">
              <w:rPr>
                <w:rFonts w:ascii="Arial Narrow" w:eastAsia="Arial Nova" w:hAnsi="Arial Narrow" w:cs="Arial Nova"/>
              </w:rPr>
              <w:t>CACR S</w:t>
            </w:r>
            <w:r w:rsidRPr="00BF0387">
              <w:rPr>
                <w:rFonts w:ascii="Arial Narrow" w:eastAsia="Arial Nova" w:hAnsi="Arial Narrow" w:cs="Arial Nova"/>
              </w:rPr>
              <w:t xml:space="preserve">oledad con 16.7 días y </w:t>
            </w:r>
            <w:r w:rsidR="009010EC">
              <w:rPr>
                <w:rFonts w:ascii="Arial Narrow" w:eastAsia="Arial Nova" w:hAnsi="Arial Narrow" w:cs="Arial Nova"/>
              </w:rPr>
              <w:t>CACR</w:t>
            </w:r>
            <w:r w:rsidR="009010EC" w:rsidRPr="00BF0387">
              <w:rPr>
                <w:rFonts w:ascii="Arial Narrow" w:eastAsia="Arial Nova" w:hAnsi="Arial Narrow" w:cs="Arial Nova"/>
              </w:rPr>
              <w:t xml:space="preserve"> </w:t>
            </w:r>
            <w:r w:rsidRPr="00BF0387">
              <w:rPr>
                <w:rFonts w:ascii="Arial Narrow" w:eastAsia="Arial Nova" w:hAnsi="Arial Narrow" w:cs="Arial Nova"/>
              </w:rPr>
              <w:t>Sabanalarga con 6.9 días.</w:t>
            </w:r>
          </w:p>
          <w:p w14:paraId="6E38DF0F" w14:textId="0DC24D15" w:rsidR="001D02FD" w:rsidRPr="00BF0387" w:rsidRDefault="001D02FD" w:rsidP="001D02FD">
            <w:pPr>
              <w:jc w:val="both"/>
              <w:rPr>
                <w:rFonts w:ascii="Arial Narrow" w:eastAsia="Arial Nova" w:hAnsi="Arial Narrow" w:cs="Arial Nova"/>
              </w:rPr>
            </w:pPr>
            <w:r w:rsidRPr="00BF0387">
              <w:rPr>
                <w:rFonts w:ascii="Arial Narrow" w:eastAsia="Arial Nova" w:hAnsi="Arial Narrow" w:cs="Arial Nova"/>
              </w:rPr>
              <w:t xml:space="preserve">Producción </w:t>
            </w:r>
            <w:r w:rsidR="001779C1" w:rsidRPr="00BF0387">
              <w:rPr>
                <w:rFonts w:ascii="Arial Narrow" w:eastAsia="Arial Nova" w:hAnsi="Arial Narrow" w:cs="Arial Nova"/>
              </w:rPr>
              <w:t>general:</w:t>
            </w:r>
            <w:r w:rsidRPr="00BF0387">
              <w:rPr>
                <w:rFonts w:ascii="Arial Narrow" w:eastAsia="Arial Nova" w:hAnsi="Arial Narrow" w:cs="Arial Nova"/>
              </w:rPr>
              <w:t xml:space="preserve"> Pruebas de laboratorio 204.450, Imágenes Dx 7.951</w:t>
            </w:r>
            <w:r w:rsidR="00AD065D" w:rsidRPr="00BF0387">
              <w:rPr>
                <w:rFonts w:ascii="Arial Narrow" w:eastAsia="Arial Nova" w:hAnsi="Arial Narrow" w:cs="Arial Nova"/>
              </w:rPr>
              <w:t>, Total</w:t>
            </w:r>
            <w:r w:rsidRPr="00BF0387">
              <w:rPr>
                <w:rFonts w:ascii="Arial Narrow" w:eastAsia="Arial Nova" w:hAnsi="Arial Narrow" w:cs="Arial Nova"/>
              </w:rPr>
              <w:t xml:space="preserve"> de egresos hospitalarios 6010, total partos vaginales y cesáreas 970, Cirugías 1656, urgencias generales </w:t>
            </w:r>
            <w:r w:rsidR="002D653B" w:rsidRPr="00BF0387">
              <w:rPr>
                <w:rFonts w:ascii="Arial Narrow" w:eastAsia="Arial Nova" w:hAnsi="Arial Narrow" w:cs="Arial Nova"/>
              </w:rPr>
              <w:t>18078 y urgencias de medicina especializada 8.443</w:t>
            </w:r>
            <w:r w:rsidR="003911CE" w:rsidRPr="00BF0387">
              <w:rPr>
                <w:rFonts w:ascii="Arial Narrow" w:eastAsia="Arial Nova" w:hAnsi="Arial Narrow" w:cs="Arial Nova"/>
              </w:rPr>
              <w:t>.</w:t>
            </w:r>
          </w:p>
          <w:p w14:paraId="32A1DD99" w14:textId="406CDBCE" w:rsidR="003911CE" w:rsidRPr="00BF0387" w:rsidRDefault="003911CE" w:rsidP="001D02FD">
            <w:pPr>
              <w:jc w:val="both"/>
              <w:rPr>
                <w:rFonts w:ascii="Arial Narrow" w:eastAsia="Arial Nova" w:hAnsi="Arial Narrow" w:cs="Arial Nova"/>
              </w:rPr>
            </w:pPr>
            <w:r w:rsidRPr="00BF0387">
              <w:rPr>
                <w:rFonts w:ascii="Arial Narrow" w:eastAsia="Arial Nova" w:hAnsi="Arial Narrow" w:cs="Arial Nova"/>
              </w:rPr>
              <w:t xml:space="preserve">Refiere de igual </w:t>
            </w:r>
            <w:r w:rsidR="005804FD" w:rsidRPr="00BF0387">
              <w:rPr>
                <w:rFonts w:ascii="Arial Narrow" w:eastAsia="Arial Nova" w:hAnsi="Arial Narrow" w:cs="Arial Nova"/>
              </w:rPr>
              <w:t>forma, que</w:t>
            </w:r>
            <w:r w:rsidRPr="00BF0387">
              <w:rPr>
                <w:rFonts w:ascii="Arial Narrow" w:eastAsia="Arial Nova" w:hAnsi="Arial Narrow" w:cs="Arial Nova"/>
              </w:rPr>
              <w:t xml:space="preserve"> se cumplió debidamente con el reporte de norma 2193 de los indicadores de producción.</w:t>
            </w:r>
          </w:p>
          <w:p w14:paraId="1AC9D1F8" w14:textId="64231B39" w:rsidR="003911CE" w:rsidRPr="00BF0387" w:rsidRDefault="001779C1" w:rsidP="001D02FD">
            <w:pPr>
              <w:jc w:val="both"/>
              <w:rPr>
                <w:rFonts w:ascii="Arial Narrow" w:eastAsia="Arial Nova" w:hAnsi="Arial Narrow" w:cs="Arial Nova"/>
              </w:rPr>
            </w:pPr>
            <w:r w:rsidRPr="00BF0387">
              <w:rPr>
                <w:rFonts w:ascii="Arial Narrow" w:eastAsia="Arial Nova" w:hAnsi="Arial Narrow" w:cs="Arial Nova"/>
              </w:rPr>
              <w:t xml:space="preserve">Termina su </w:t>
            </w:r>
            <w:r w:rsidR="005804FD" w:rsidRPr="00BF0387">
              <w:rPr>
                <w:rFonts w:ascii="Arial Narrow" w:eastAsia="Arial Nova" w:hAnsi="Arial Narrow" w:cs="Arial Nova"/>
              </w:rPr>
              <w:t>intervención haciendo</w:t>
            </w:r>
            <w:r w:rsidRPr="00BF0387">
              <w:rPr>
                <w:rFonts w:ascii="Arial Narrow" w:eastAsia="Arial Nova" w:hAnsi="Arial Narrow" w:cs="Arial Nova"/>
              </w:rPr>
              <w:t xml:space="preserve"> referencia a la</w:t>
            </w:r>
            <w:r w:rsidR="00F0226D" w:rsidRPr="00BF0387">
              <w:rPr>
                <w:rFonts w:ascii="Arial Narrow" w:eastAsia="Arial Nova" w:hAnsi="Arial Narrow" w:cs="Arial Nova"/>
              </w:rPr>
              <w:t xml:space="preserve"> </w:t>
            </w:r>
            <w:r w:rsidRPr="00BF0387">
              <w:rPr>
                <w:rFonts w:ascii="Arial Narrow" w:eastAsia="Arial Nova" w:hAnsi="Arial Narrow" w:cs="Arial Nova"/>
              </w:rPr>
              <w:t>gestión de</w:t>
            </w:r>
            <w:r w:rsidR="00F0226D" w:rsidRPr="00BF0387">
              <w:rPr>
                <w:rFonts w:ascii="Arial Narrow" w:eastAsia="Arial Nova" w:hAnsi="Arial Narrow" w:cs="Arial Nova"/>
              </w:rPr>
              <w:t xml:space="preserve"> la PQRSD recibidas y tramitadas durante la vigencia 2022 para un total </w:t>
            </w:r>
            <w:r w:rsidR="00AD065D" w:rsidRPr="00BF0387">
              <w:rPr>
                <w:rFonts w:ascii="Arial Narrow" w:eastAsia="Arial Nova" w:hAnsi="Arial Narrow" w:cs="Arial Nova"/>
              </w:rPr>
              <w:t>de 578</w:t>
            </w:r>
            <w:r w:rsidR="00F0226D" w:rsidRPr="00BF0387">
              <w:rPr>
                <w:rFonts w:ascii="Arial Narrow" w:eastAsia="Arial Nova" w:hAnsi="Arial Narrow" w:cs="Arial Nova"/>
              </w:rPr>
              <w:t xml:space="preserve"> Peticiones, 14 quejas, 27 reclamos para un total general 619 </w:t>
            </w:r>
            <w:r w:rsidR="00AD065D" w:rsidRPr="00BF0387">
              <w:rPr>
                <w:rFonts w:ascii="Arial Narrow" w:eastAsia="Arial Nova" w:hAnsi="Arial Narrow" w:cs="Arial Nova"/>
              </w:rPr>
              <w:t>actividades en</w:t>
            </w:r>
            <w:r w:rsidR="00F0226D" w:rsidRPr="00BF0387">
              <w:rPr>
                <w:rFonts w:ascii="Arial Narrow" w:eastAsia="Arial Nova" w:hAnsi="Arial Narrow" w:cs="Arial Nova"/>
              </w:rPr>
              <w:t xml:space="preserve"> todas las sede</w:t>
            </w:r>
            <w:r w:rsidRPr="00BF0387">
              <w:rPr>
                <w:rFonts w:ascii="Arial Narrow" w:eastAsia="Arial Nova" w:hAnsi="Arial Narrow" w:cs="Arial Nova"/>
              </w:rPr>
              <w:t>s.</w:t>
            </w:r>
          </w:p>
          <w:p w14:paraId="615B9E71" w14:textId="77777777" w:rsidR="001779C1" w:rsidRPr="00BF0387" w:rsidRDefault="001779C1" w:rsidP="001D02FD">
            <w:pPr>
              <w:jc w:val="both"/>
              <w:rPr>
                <w:rFonts w:ascii="Arial Narrow" w:eastAsia="Arial Nova" w:hAnsi="Arial Narrow" w:cs="Arial Nova"/>
              </w:rPr>
            </w:pPr>
          </w:p>
          <w:p w14:paraId="57120BD4" w14:textId="4D2E6661" w:rsidR="001779C1" w:rsidRPr="00BF0387" w:rsidRDefault="00AD065D" w:rsidP="001D02FD">
            <w:pPr>
              <w:jc w:val="both"/>
              <w:rPr>
                <w:rFonts w:ascii="Arial Narrow" w:eastAsia="Arial Nova" w:hAnsi="Arial Narrow" w:cs="Arial Nova"/>
              </w:rPr>
            </w:pPr>
            <w:r w:rsidRPr="00BF0387">
              <w:rPr>
                <w:rFonts w:ascii="Arial Narrow" w:eastAsia="Arial Nova" w:hAnsi="Arial Narrow" w:cs="Arial Nova"/>
              </w:rPr>
              <w:t xml:space="preserve">Sigue en orden </w:t>
            </w:r>
            <w:r w:rsidR="001779C1" w:rsidRPr="00BF0387">
              <w:rPr>
                <w:rFonts w:ascii="Arial Narrow" w:eastAsia="Arial Nova" w:hAnsi="Arial Narrow" w:cs="Arial Nova"/>
              </w:rPr>
              <w:t xml:space="preserve"> el </w:t>
            </w:r>
            <w:r w:rsidR="009010EC" w:rsidRPr="00BF0387">
              <w:rPr>
                <w:rFonts w:ascii="Arial Narrow" w:eastAsia="Arial Nova" w:hAnsi="Arial Narrow" w:cs="Arial Nova"/>
              </w:rPr>
              <w:t>Dr.</w:t>
            </w:r>
            <w:r w:rsidR="001779C1" w:rsidRPr="00BF0387">
              <w:rPr>
                <w:rFonts w:ascii="Arial Narrow" w:eastAsia="Arial Nova" w:hAnsi="Arial Narrow" w:cs="Arial Nova"/>
              </w:rPr>
              <w:t xml:space="preserve"> Julián Paternina jefe de Contratación y Jurídica de la Entidad, quien inicia dando una explicación de la función de la oficina Jurídica, realizando o emitiendo 19 conceptos para solucionar o dar línea jurídica, se han dado 92  respuestas a derechos de petición (solicitudes de historias clínicas) , 43 respuestas a derechos de petición generales y 20 respuestas a acciones de tutelas., hace la salvedad q estas acciones de tutelas corresponden (12 en contra de la ESE y 8 agentes oficiosos (defensa de derecho personalidad Jurídica).</w:t>
            </w:r>
          </w:p>
          <w:p w14:paraId="0F809CA7" w14:textId="7276AD23" w:rsidR="001779C1" w:rsidRPr="00BF0387" w:rsidRDefault="00AD065D" w:rsidP="001D02FD">
            <w:pPr>
              <w:jc w:val="both"/>
              <w:rPr>
                <w:rFonts w:ascii="Arial Narrow" w:eastAsia="Arial Nova" w:hAnsi="Arial Narrow" w:cs="Arial Nova"/>
              </w:rPr>
            </w:pPr>
            <w:r w:rsidRPr="00BF0387">
              <w:rPr>
                <w:rFonts w:ascii="Arial Narrow" w:eastAsia="Arial Nova" w:hAnsi="Arial Narrow" w:cs="Arial Nova"/>
              </w:rPr>
              <w:t xml:space="preserve">Presenta de igual manera el </w:t>
            </w:r>
            <w:r w:rsidR="009010EC" w:rsidRPr="00BF0387">
              <w:rPr>
                <w:rFonts w:ascii="Arial Narrow" w:eastAsia="Arial Nova" w:hAnsi="Arial Narrow" w:cs="Arial Nova"/>
              </w:rPr>
              <w:t>Dr.</w:t>
            </w:r>
            <w:r w:rsidRPr="00BF0387">
              <w:rPr>
                <w:rFonts w:ascii="Arial Narrow" w:eastAsia="Arial Nova" w:hAnsi="Arial Narrow" w:cs="Arial Nova"/>
              </w:rPr>
              <w:t xml:space="preserve"> Paternina a</w:t>
            </w:r>
            <w:r w:rsidR="001779C1" w:rsidRPr="00BF0387">
              <w:rPr>
                <w:rFonts w:ascii="Arial Narrow" w:eastAsia="Arial Nova" w:hAnsi="Arial Narrow" w:cs="Arial Nova"/>
              </w:rPr>
              <w:t xml:space="preserve"> </w:t>
            </w:r>
            <w:r w:rsidRPr="00BF0387">
              <w:rPr>
                <w:rFonts w:ascii="Arial Narrow" w:eastAsia="Arial Nova" w:hAnsi="Arial Narrow" w:cs="Arial Nova"/>
              </w:rPr>
              <w:t xml:space="preserve">la gestión de la </w:t>
            </w:r>
            <w:r w:rsidR="001779C1" w:rsidRPr="00BF0387">
              <w:rPr>
                <w:rFonts w:ascii="Arial Narrow" w:eastAsia="Arial Nova" w:hAnsi="Arial Narrow" w:cs="Arial Nova"/>
              </w:rPr>
              <w:t xml:space="preserve">oficina De Dirección de </w:t>
            </w:r>
            <w:r w:rsidRPr="00BF0387">
              <w:rPr>
                <w:rFonts w:ascii="Arial Narrow" w:eastAsia="Arial Nova" w:hAnsi="Arial Narrow" w:cs="Arial Nova"/>
              </w:rPr>
              <w:t>Contratación,</w:t>
            </w:r>
            <w:r w:rsidR="001779C1" w:rsidRPr="00BF0387">
              <w:rPr>
                <w:rFonts w:ascii="Arial Narrow" w:eastAsia="Arial Nova" w:hAnsi="Arial Narrow" w:cs="Arial Nova"/>
              </w:rPr>
              <w:t xml:space="preserve"> en donde aclara que esta oficina se rige por régimen especial (acuerdo 09 suscrito por la junta directiva de la ESE y es la que enmarca la acción contractual. </w:t>
            </w:r>
          </w:p>
          <w:p w14:paraId="026C8D02" w14:textId="6E351420" w:rsidR="001779C1" w:rsidRPr="00BF0387" w:rsidRDefault="001779C1" w:rsidP="001D02FD">
            <w:pPr>
              <w:jc w:val="both"/>
              <w:rPr>
                <w:rFonts w:ascii="Arial Narrow" w:eastAsia="Arial Nova" w:hAnsi="Arial Narrow" w:cs="Arial Nova"/>
              </w:rPr>
            </w:pPr>
            <w:r w:rsidRPr="00BF0387">
              <w:rPr>
                <w:rFonts w:ascii="Arial Narrow" w:eastAsia="Arial Nova" w:hAnsi="Arial Narrow" w:cs="Arial Nova"/>
              </w:rPr>
              <w:t xml:space="preserve">Durante la vigencia 2022 se realizaron 2725 contratos perfeccionados, 1 contrato de mantenimiento, 1 </w:t>
            </w:r>
            <w:r w:rsidR="00AD065D" w:rsidRPr="00BF0387">
              <w:rPr>
                <w:rFonts w:ascii="Arial Narrow" w:eastAsia="Arial Nova" w:hAnsi="Arial Narrow" w:cs="Arial Nova"/>
              </w:rPr>
              <w:t>interventoría</w:t>
            </w:r>
            <w:r w:rsidRPr="00BF0387">
              <w:rPr>
                <w:rFonts w:ascii="Arial Narrow" w:eastAsia="Arial Nova" w:hAnsi="Arial Narrow" w:cs="Arial Nova"/>
              </w:rPr>
              <w:t>, 2 contratos de obra</w:t>
            </w:r>
            <w:r w:rsidR="00AD065D" w:rsidRPr="00BF0387">
              <w:rPr>
                <w:rFonts w:ascii="Arial Narrow" w:eastAsia="Arial Nova" w:hAnsi="Arial Narrow" w:cs="Arial Nova"/>
              </w:rPr>
              <w:t>, 2685 contratos de prestación de servicios ,33 contratos de suministros y contratos de asociación en número de 3.</w:t>
            </w:r>
          </w:p>
          <w:p w14:paraId="0E524503" w14:textId="0EAD1BFB" w:rsidR="00AD065D" w:rsidRPr="00BF0387" w:rsidRDefault="00AD065D" w:rsidP="001D02FD">
            <w:pPr>
              <w:jc w:val="both"/>
              <w:rPr>
                <w:rFonts w:ascii="Arial Narrow" w:eastAsia="Arial Nova" w:hAnsi="Arial Narrow" w:cs="Arial Nova"/>
              </w:rPr>
            </w:pPr>
            <w:r w:rsidRPr="00BF0387">
              <w:rPr>
                <w:rFonts w:ascii="Arial Narrow" w:eastAsia="Arial Nova" w:hAnsi="Arial Narrow" w:cs="Arial Nova"/>
              </w:rPr>
              <w:t xml:space="preserve">Aclara el </w:t>
            </w:r>
            <w:r w:rsidR="009010EC" w:rsidRPr="00BF0387">
              <w:rPr>
                <w:rFonts w:ascii="Arial Narrow" w:eastAsia="Arial Nova" w:hAnsi="Arial Narrow" w:cs="Arial Nova"/>
              </w:rPr>
              <w:t>Dr.</w:t>
            </w:r>
            <w:r w:rsidRPr="00BF0387">
              <w:rPr>
                <w:rFonts w:ascii="Arial Narrow" w:eastAsia="Arial Nova" w:hAnsi="Arial Narrow" w:cs="Arial Nova"/>
              </w:rPr>
              <w:t xml:space="preserve"> Julián que los contratos de asociación se realizaron a través de </w:t>
            </w:r>
            <w:r w:rsidR="002D239F" w:rsidRPr="00BF0387">
              <w:rPr>
                <w:rFonts w:ascii="Arial Narrow" w:eastAsia="Arial Nova" w:hAnsi="Arial Narrow" w:cs="Arial Nova"/>
              </w:rPr>
              <w:t xml:space="preserve">convocatoria pública, a través de invitación abierta , en donde le ESE buscaba aliados en actividades específicas como fue el proceso de prestación del servicio de </w:t>
            </w:r>
            <w:r w:rsidR="00B0670E" w:rsidRPr="00BF0387">
              <w:rPr>
                <w:rFonts w:ascii="Arial Narrow" w:eastAsia="Arial Nova" w:hAnsi="Arial Narrow" w:cs="Arial Nova"/>
              </w:rPr>
              <w:t>imágenes, servicios</w:t>
            </w:r>
            <w:r w:rsidR="002D239F" w:rsidRPr="00BF0387">
              <w:rPr>
                <w:rFonts w:ascii="Arial Narrow" w:eastAsia="Arial Nova" w:hAnsi="Arial Narrow" w:cs="Arial Nova"/>
              </w:rPr>
              <w:t xml:space="preserve"> uci neonatal y pediátrica y prestación del servicio de laboratorio, servicio de alimentos y servicio de farmacia, aclara de igual forma que menciona cinco contratos , pero solo tres fueron perfeccionados</w:t>
            </w:r>
            <w:r w:rsidR="00B0670E" w:rsidRPr="00BF0387">
              <w:rPr>
                <w:rFonts w:ascii="Arial Narrow" w:eastAsia="Arial Nova" w:hAnsi="Arial Narrow" w:cs="Arial Nova"/>
              </w:rPr>
              <w:t xml:space="preserve"> en la vigencia 2022 (contrato para la prestación de servicios de uci neonatal y pediátrico, contrato de suministro de alimentos  y contrato de prestación de servicios farmacéuticos en las sedes de la ESE UNIVERSITARIA DEL ATLÁNTICO</w:t>
            </w:r>
            <w:r w:rsidR="00D3033A" w:rsidRPr="00BF0387">
              <w:rPr>
                <w:rFonts w:ascii="Arial Narrow" w:eastAsia="Arial Nova" w:hAnsi="Arial Narrow" w:cs="Arial Nova"/>
              </w:rPr>
              <w:t>).</w:t>
            </w:r>
          </w:p>
          <w:p w14:paraId="7F753686" w14:textId="1D0F3D41" w:rsidR="00D3033A" w:rsidRPr="00BF0387" w:rsidRDefault="00D3033A" w:rsidP="001D02FD">
            <w:pPr>
              <w:jc w:val="both"/>
              <w:rPr>
                <w:rFonts w:ascii="Arial Narrow" w:eastAsia="Arial Nova" w:hAnsi="Arial Narrow" w:cs="Arial Nova"/>
              </w:rPr>
            </w:pPr>
            <w:r w:rsidRPr="00BF0387">
              <w:rPr>
                <w:rFonts w:ascii="Arial Narrow" w:eastAsia="Arial Nova" w:hAnsi="Arial Narrow" w:cs="Arial Nova"/>
              </w:rPr>
              <w:t xml:space="preserve">Termina su exposición el </w:t>
            </w:r>
            <w:r w:rsidR="009010EC" w:rsidRPr="00BF0387">
              <w:rPr>
                <w:rFonts w:ascii="Arial Narrow" w:eastAsia="Arial Nova" w:hAnsi="Arial Narrow" w:cs="Arial Nova"/>
              </w:rPr>
              <w:t>Dr.</w:t>
            </w:r>
            <w:r w:rsidRPr="00BF0387">
              <w:rPr>
                <w:rFonts w:ascii="Arial Narrow" w:eastAsia="Arial Nova" w:hAnsi="Arial Narrow" w:cs="Arial Nova"/>
              </w:rPr>
              <w:t xml:space="preserve"> </w:t>
            </w:r>
            <w:r w:rsidR="009010EC" w:rsidRPr="00BF0387">
              <w:rPr>
                <w:rFonts w:ascii="Arial Narrow" w:eastAsia="Arial Nova" w:hAnsi="Arial Narrow" w:cs="Arial Nova"/>
              </w:rPr>
              <w:t>Julián</w:t>
            </w:r>
            <w:r w:rsidRPr="00BF0387">
              <w:rPr>
                <w:rFonts w:ascii="Arial Narrow" w:eastAsia="Arial Nova" w:hAnsi="Arial Narrow" w:cs="Arial Nova"/>
              </w:rPr>
              <w:t xml:space="preserve"> Paternina y </w:t>
            </w:r>
            <w:r w:rsidR="00705A0C" w:rsidRPr="00BF0387">
              <w:rPr>
                <w:rFonts w:ascii="Arial Narrow" w:eastAsia="Arial Nova" w:hAnsi="Arial Narrow" w:cs="Arial Nova"/>
              </w:rPr>
              <w:t>continua la</w:t>
            </w:r>
            <w:r w:rsidRPr="00BF0387">
              <w:rPr>
                <w:rFonts w:ascii="Arial Narrow" w:eastAsia="Arial Nova" w:hAnsi="Arial Narrow" w:cs="Arial Nova"/>
              </w:rPr>
              <w:t xml:space="preserve"> </w:t>
            </w:r>
            <w:r w:rsidR="00A75F2E" w:rsidRPr="00BF0387">
              <w:rPr>
                <w:rFonts w:ascii="Arial Narrow" w:eastAsia="Arial Nova" w:hAnsi="Arial Narrow" w:cs="Arial Nova"/>
              </w:rPr>
              <w:t>presentación el</w:t>
            </w:r>
            <w:r w:rsidRPr="00BF0387">
              <w:rPr>
                <w:rFonts w:ascii="Arial Narrow" w:eastAsia="Arial Nova" w:hAnsi="Arial Narrow" w:cs="Arial Nova"/>
              </w:rPr>
              <w:t xml:space="preserve"> </w:t>
            </w:r>
            <w:r w:rsidR="009010EC" w:rsidRPr="00BF0387">
              <w:rPr>
                <w:rFonts w:ascii="Arial Narrow" w:eastAsia="Arial Nova" w:hAnsi="Arial Narrow" w:cs="Arial Nova"/>
              </w:rPr>
              <w:t>Dr.</w:t>
            </w:r>
            <w:r w:rsidRPr="00BF0387">
              <w:rPr>
                <w:rFonts w:ascii="Arial Narrow" w:eastAsia="Arial Nova" w:hAnsi="Arial Narrow" w:cs="Arial Nova"/>
              </w:rPr>
              <w:t xml:space="preserve"> Jorge Prieto, Director Administrativo de la institución </w:t>
            </w:r>
            <w:r w:rsidR="00705A0C" w:rsidRPr="00BF0387">
              <w:rPr>
                <w:rFonts w:ascii="Arial Narrow" w:eastAsia="Arial Nova" w:hAnsi="Arial Narrow" w:cs="Arial Nova"/>
              </w:rPr>
              <w:t>quien desarrolla la Gestión Administrativa de la ESE, en dos componentes como son Gestión de Infraestructura Física y Biomédica y la gestión de la Tecnología de la Información. TICS.</w:t>
            </w:r>
          </w:p>
          <w:p w14:paraId="1AE1D766" w14:textId="018B82C9" w:rsidR="00A75F2E" w:rsidRPr="00BF0387" w:rsidRDefault="00324910" w:rsidP="001D02FD">
            <w:pPr>
              <w:jc w:val="both"/>
              <w:rPr>
                <w:rFonts w:ascii="Arial Narrow" w:eastAsia="Arial Nova" w:hAnsi="Arial Narrow" w:cs="Arial Nova"/>
              </w:rPr>
            </w:pPr>
            <w:r w:rsidRPr="00BF0387">
              <w:rPr>
                <w:rFonts w:ascii="Arial Narrow" w:eastAsia="Arial Nova" w:hAnsi="Arial Narrow" w:cs="Arial Nova"/>
              </w:rPr>
              <w:t xml:space="preserve">Refiere el </w:t>
            </w:r>
            <w:r w:rsidR="009010EC" w:rsidRPr="00BF0387">
              <w:rPr>
                <w:rFonts w:ascii="Arial Narrow" w:eastAsia="Arial Nova" w:hAnsi="Arial Narrow" w:cs="Arial Nova"/>
              </w:rPr>
              <w:t>Dr.</w:t>
            </w:r>
            <w:r w:rsidRPr="00BF0387">
              <w:rPr>
                <w:rFonts w:ascii="Arial Narrow" w:eastAsia="Arial Nova" w:hAnsi="Arial Narrow" w:cs="Arial Nova"/>
              </w:rPr>
              <w:t xml:space="preserve"> Prieto que la gestión de infraestructura física y biomédica comprende varios componentes como son : gestión del mantenimiento hospitalario, activos fijos e inventarios, tecnología biomédica y gestión ambiental.</w:t>
            </w:r>
          </w:p>
          <w:p w14:paraId="745EEAA8" w14:textId="78A1EFAA" w:rsidR="00324910" w:rsidRPr="00BF0387" w:rsidRDefault="00324910" w:rsidP="001D02FD">
            <w:pPr>
              <w:jc w:val="both"/>
              <w:rPr>
                <w:rFonts w:ascii="Arial Narrow" w:eastAsia="Arial Nova" w:hAnsi="Arial Narrow" w:cs="Arial Nova"/>
              </w:rPr>
            </w:pPr>
            <w:r w:rsidRPr="00BF0387">
              <w:rPr>
                <w:rFonts w:ascii="Arial Narrow" w:eastAsia="Arial Nova" w:hAnsi="Arial Narrow" w:cs="Arial Nova"/>
              </w:rPr>
              <w:t xml:space="preserve">En cuanto a la ejecución presupuestal, informa el </w:t>
            </w:r>
            <w:r w:rsidR="009010EC" w:rsidRPr="00BF0387">
              <w:rPr>
                <w:rFonts w:ascii="Arial Narrow" w:eastAsia="Arial Nova" w:hAnsi="Arial Narrow" w:cs="Arial Nova"/>
              </w:rPr>
              <w:t>Dr.</w:t>
            </w:r>
            <w:r w:rsidRPr="00BF0387">
              <w:rPr>
                <w:rFonts w:ascii="Arial Narrow" w:eastAsia="Arial Nova" w:hAnsi="Arial Narrow" w:cs="Arial Nova"/>
              </w:rPr>
              <w:t xml:space="preserve"> prieto </w:t>
            </w:r>
            <w:r w:rsidR="005804FD" w:rsidRPr="00BF0387">
              <w:rPr>
                <w:rFonts w:ascii="Arial Narrow" w:eastAsia="Arial Nova" w:hAnsi="Arial Narrow" w:cs="Arial Nova"/>
              </w:rPr>
              <w:t xml:space="preserve">que </w:t>
            </w:r>
            <w:r w:rsidRPr="00BF0387">
              <w:rPr>
                <w:rFonts w:ascii="Arial Narrow" w:eastAsia="Arial Nova" w:hAnsi="Arial Narrow" w:cs="Arial Nova"/>
              </w:rPr>
              <w:t xml:space="preserve">correspondió a un valor total del $5.636 </w:t>
            </w:r>
            <w:r w:rsidR="00A96B09" w:rsidRPr="00BF0387">
              <w:rPr>
                <w:rFonts w:ascii="Arial Narrow" w:eastAsia="Arial Nova" w:hAnsi="Arial Narrow" w:cs="Arial Nova"/>
              </w:rPr>
              <w:t>millones de</w:t>
            </w:r>
            <w:r w:rsidRPr="00BF0387">
              <w:rPr>
                <w:rFonts w:ascii="Arial Narrow" w:eastAsia="Arial Nova" w:hAnsi="Arial Narrow" w:cs="Arial Nova"/>
              </w:rPr>
              <w:t xml:space="preserve"> este rubro , se destinó $1.635 millones  a correspondiendo a un 29% para la ejecución de infraestructura  y  $4.001 millones correspondiendo al 71% para el mantenimiento de dotación hospitalaria.</w:t>
            </w:r>
          </w:p>
          <w:p w14:paraId="446D7BE1" w14:textId="5D18D2CB" w:rsidR="00324910" w:rsidRPr="00BF0387" w:rsidRDefault="00324910" w:rsidP="001D02FD">
            <w:pPr>
              <w:jc w:val="both"/>
              <w:rPr>
                <w:rFonts w:ascii="Arial Narrow" w:eastAsia="Arial Nova" w:hAnsi="Arial Narrow" w:cs="Arial Nova"/>
              </w:rPr>
            </w:pPr>
            <w:r w:rsidRPr="00BF0387">
              <w:rPr>
                <w:rFonts w:ascii="Arial Narrow" w:eastAsia="Arial Nova" w:hAnsi="Arial Narrow" w:cs="Arial Nova"/>
              </w:rPr>
              <w:t>Informa además la realización que el plan de mantenimiento incluyó mantenimiento de plantas eléctricas y ascensores en cada una de las sedes, cumpliendo al 100% el mantenimiento programando para las plantas eléctricas y un cumplimiento del 90% del mantenimiento programado para los ascensores.</w:t>
            </w:r>
          </w:p>
          <w:p w14:paraId="03E76DE5" w14:textId="5C6EEEA6" w:rsidR="00324910" w:rsidRPr="00BF0387" w:rsidRDefault="00324910" w:rsidP="001D02FD">
            <w:pPr>
              <w:jc w:val="both"/>
              <w:rPr>
                <w:rFonts w:ascii="Arial Narrow" w:eastAsia="Arial Nova" w:hAnsi="Arial Narrow" w:cs="Arial Nova"/>
              </w:rPr>
            </w:pPr>
            <w:r w:rsidRPr="00BF0387">
              <w:rPr>
                <w:rFonts w:ascii="Arial Narrow" w:eastAsia="Arial Nova" w:hAnsi="Arial Narrow" w:cs="Arial Nova"/>
              </w:rPr>
              <w:t>Comenta sobre el mantenimiento del parque automotor</w:t>
            </w:r>
            <w:r w:rsidR="005804FD" w:rsidRPr="00BF0387">
              <w:rPr>
                <w:rFonts w:ascii="Arial Narrow" w:eastAsia="Arial Nova" w:hAnsi="Arial Narrow" w:cs="Arial Nova"/>
              </w:rPr>
              <w:t xml:space="preserve"> (5 ambulancias),</w:t>
            </w:r>
            <w:r w:rsidRPr="00BF0387">
              <w:rPr>
                <w:rFonts w:ascii="Arial Narrow" w:eastAsia="Arial Nova" w:hAnsi="Arial Narrow" w:cs="Arial Nova"/>
              </w:rPr>
              <w:t xml:space="preserve"> que inicialmente se realizó a través de las garantías y luego a través de los mantenimientos normales requeridos.</w:t>
            </w:r>
          </w:p>
          <w:p w14:paraId="18C6092A" w14:textId="00861989" w:rsidR="00A96B09" w:rsidRPr="00BF0387" w:rsidRDefault="00A96B09" w:rsidP="001D02FD">
            <w:pPr>
              <w:jc w:val="both"/>
              <w:rPr>
                <w:rFonts w:ascii="Arial Narrow" w:eastAsia="Arial Nova" w:hAnsi="Arial Narrow" w:cs="Arial Nova"/>
              </w:rPr>
            </w:pPr>
            <w:r w:rsidRPr="00BF0387">
              <w:rPr>
                <w:rFonts w:ascii="Arial Narrow" w:eastAsia="Arial Nova" w:hAnsi="Arial Narrow" w:cs="Arial Nova"/>
              </w:rPr>
              <w:t xml:space="preserve">Sobre el mantenimiento de los equipos biomédicos comenta que se realiza dentro de las actividades del mantenimiento </w:t>
            </w:r>
            <w:r w:rsidR="00AC0FBE" w:rsidRPr="00BF0387">
              <w:rPr>
                <w:rFonts w:ascii="Arial Narrow" w:eastAsia="Arial Nova" w:hAnsi="Arial Narrow" w:cs="Arial Nova"/>
              </w:rPr>
              <w:t>preventivo programadas</w:t>
            </w:r>
            <w:r w:rsidRPr="00BF0387">
              <w:rPr>
                <w:rFonts w:ascii="Arial Narrow" w:eastAsia="Arial Nova" w:hAnsi="Arial Narrow" w:cs="Arial Nova"/>
              </w:rPr>
              <w:t>, refiere que el indicador refleja un resultado de un 70% de cumplimiento.</w:t>
            </w:r>
          </w:p>
          <w:p w14:paraId="1F8F95D5" w14:textId="4A5410C6" w:rsidR="00A96B09" w:rsidRPr="00BF0387" w:rsidRDefault="00A96B09" w:rsidP="001D02FD">
            <w:pPr>
              <w:jc w:val="both"/>
              <w:rPr>
                <w:rFonts w:ascii="Arial Narrow" w:eastAsia="Arial Nova" w:hAnsi="Arial Narrow" w:cs="Arial Nova"/>
              </w:rPr>
            </w:pPr>
            <w:r w:rsidRPr="00BF0387">
              <w:rPr>
                <w:rFonts w:ascii="Arial Narrow" w:eastAsia="Arial Nova" w:hAnsi="Arial Narrow" w:cs="Arial Nova"/>
              </w:rPr>
              <w:t>En cuanto al mantenimiento correctivo realizado, el indicador reportó del 5%, ya que se atendieron 80 equipos.</w:t>
            </w:r>
          </w:p>
          <w:p w14:paraId="34809CDA" w14:textId="464A64A4" w:rsidR="00A96B09" w:rsidRPr="00BF0387" w:rsidRDefault="00A96B09" w:rsidP="001D02FD">
            <w:pPr>
              <w:jc w:val="both"/>
              <w:rPr>
                <w:rFonts w:ascii="Arial Narrow" w:eastAsia="Arial Nova" w:hAnsi="Arial Narrow" w:cs="Arial Nova"/>
              </w:rPr>
            </w:pPr>
            <w:r w:rsidRPr="00BF0387">
              <w:rPr>
                <w:rFonts w:ascii="Arial Narrow" w:eastAsia="Arial Nova" w:hAnsi="Arial Narrow" w:cs="Arial Nova"/>
              </w:rPr>
              <w:lastRenderedPageBreak/>
              <w:t>Dentro del mantenimiento de infraestructura se realiza la gestión ambiental y el tema de aseo de las locaciones, para brindar servicios de salud.</w:t>
            </w:r>
          </w:p>
          <w:p w14:paraId="08C75186" w14:textId="364895BB" w:rsidR="00A96B09" w:rsidRPr="00BF0387" w:rsidRDefault="00A96B09" w:rsidP="001D02FD">
            <w:pPr>
              <w:jc w:val="both"/>
              <w:rPr>
                <w:rFonts w:ascii="Arial Narrow" w:eastAsia="Arial Nova" w:hAnsi="Arial Narrow" w:cs="Arial Nova"/>
              </w:rPr>
            </w:pPr>
            <w:r w:rsidRPr="00BF0387">
              <w:rPr>
                <w:rFonts w:ascii="Arial Narrow" w:eastAsia="Arial Nova" w:hAnsi="Arial Narrow" w:cs="Arial Nova"/>
              </w:rPr>
              <w:t xml:space="preserve">El aseo </w:t>
            </w:r>
            <w:r w:rsidR="005804FD" w:rsidRPr="00BF0387">
              <w:rPr>
                <w:rFonts w:ascii="Arial Narrow" w:eastAsia="Arial Nova" w:hAnsi="Arial Narrow" w:cs="Arial Nova"/>
              </w:rPr>
              <w:t>está</w:t>
            </w:r>
            <w:r w:rsidRPr="00BF0387">
              <w:rPr>
                <w:rFonts w:ascii="Arial Narrow" w:eastAsia="Arial Nova" w:hAnsi="Arial Narrow" w:cs="Arial Nova"/>
              </w:rPr>
              <w:t xml:space="preserve"> contratado con empresa que se dedica a realizar</w:t>
            </w:r>
            <w:r w:rsidR="00C87893">
              <w:rPr>
                <w:rFonts w:ascii="Arial Narrow" w:eastAsia="Arial Nova" w:hAnsi="Arial Narrow" w:cs="Arial Nova"/>
              </w:rPr>
              <w:t xml:space="preserve"> las acciones de limpieza y </w:t>
            </w:r>
            <w:r w:rsidRPr="00BF0387">
              <w:rPr>
                <w:rFonts w:ascii="Arial Narrow" w:eastAsia="Arial Nova" w:hAnsi="Arial Narrow" w:cs="Arial Nova"/>
              </w:rPr>
              <w:t xml:space="preserve"> desinfección así como el suministro de los insumos requeridos para tal fin , en cuanto a la gestión de residuos hospitalarios se cuenta con tercero contratado especializado en esta actividad, a la cual desde dirección administrativa se realizan las acciones de auditoría , verificando condiciones y protocolos de manejo, así como las actividades de recepción, almacenamiento, incineración o tratamiento de los residuos generados a nivel institucional</w:t>
            </w:r>
            <w:r w:rsidR="00D30AC5" w:rsidRPr="00BF0387">
              <w:rPr>
                <w:rFonts w:ascii="Arial Narrow" w:eastAsia="Arial Nova" w:hAnsi="Arial Narrow" w:cs="Arial Nova"/>
              </w:rPr>
              <w:t>, así como el programa de capacitación y planes de contingencia que garanticen una disposición final adecuada a los residuos generados en la E.S.E y que estos generen el menor impacto sobre el medio ambiente.</w:t>
            </w:r>
          </w:p>
          <w:p w14:paraId="2EC4951C" w14:textId="379053BA" w:rsidR="00AC0FBE" w:rsidRPr="00BF0387" w:rsidRDefault="00AC0FBE" w:rsidP="001D02FD">
            <w:pPr>
              <w:jc w:val="both"/>
              <w:rPr>
                <w:rFonts w:ascii="Arial Narrow" w:eastAsia="Arial Nova" w:hAnsi="Arial Narrow" w:cs="Arial Nova"/>
              </w:rPr>
            </w:pPr>
            <w:r w:rsidRPr="00BF0387">
              <w:rPr>
                <w:rFonts w:ascii="Arial Narrow" w:eastAsia="Arial Nova" w:hAnsi="Arial Narrow" w:cs="Arial Nova"/>
              </w:rPr>
              <w:t>Hace referencia a la gestión de manejo de vectores a través de la gestión de fumigación, mediante el cumplimiento de cronograma de fumigación en todas las áreas de las diferentes sedes, haciendo énfasis en áreas críticas como Unidades de cuidados intensivos, cirugía y farmacia.</w:t>
            </w:r>
          </w:p>
          <w:p w14:paraId="01D9A319" w14:textId="5C26B019" w:rsidR="00AC0FBE" w:rsidRPr="00BF0387" w:rsidRDefault="00AC0FBE" w:rsidP="001D02FD">
            <w:pPr>
              <w:jc w:val="both"/>
              <w:rPr>
                <w:rFonts w:ascii="Arial Narrow" w:eastAsia="Arial Nova" w:hAnsi="Arial Narrow" w:cs="Arial Nova"/>
              </w:rPr>
            </w:pPr>
            <w:r w:rsidRPr="00BF0387">
              <w:rPr>
                <w:rFonts w:ascii="Arial Narrow" w:eastAsia="Arial Nova" w:hAnsi="Arial Narrow" w:cs="Arial Nova"/>
              </w:rPr>
              <w:t>Refiere además la inversión realizada por un valor de $1.125 millones para la compra equipos biomédicos nuevos (equipo rx portátil, electrocardiógrafos, ecógrafos y monitores de signos vitales).</w:t>
            </w:r>
          </w:p>
          <w:p w14:paraId="03EF5096" w14:textId="2065FE17" w:rsidR="00AC0FBE" w:rsidRPr="00BF0387" w:rsidRDefault="00AC0FBE" w:rsidP="001D02FD">
            <w:pPr>
              <w:jc w:val="both"/>
              <w:rPr>
                <w:rFonts w:ascii="Arial Narrow" w:eastAsia="Arial Nova" w:hAnsi="Arial Narrow" w:cs="Arial Nova"/>
              </w:rPr>
            </w:pPr>
            <w:r w:rsidRPr="00BF0387">
              <w:rPr>
                <w:rFonts w:ascii="Arial Narrow" w:eastAsia="Arial Nova" w:hAnsi="Arial Narrow" w:cs="Arial Nova"/>
              </w:rPr>
              <w:t xml:space="preserve">En cuanto al proceso de Tecnología y comunicaciones TICS, comenta el Dr. Prieto, que en la vigencia 2022 hubo un desarrollo de tablero de control para monitoreo de ocupación de servicios hospitalarios (documenta en tiempo real la ocupación de cada una de las sedes , así como la facturación generada), se </w:t>
            </w:r>
            <w:r w:rsidR="005804FD" w:rsidRPr="00BF0387">
              <w:rPr>
                <w:rFonts w:ascii="Arial Narrow" w:eastAsia="Arial Nova" w:hAnsi="Arial Narrow" w:cs="Arial Nova"/>
              </w:rPr>
              <w:t>creó</w:t>
            </w:r>
            <w:r w:rsidRPr="00BF0387">
              <w:rPr>
                <w:rFonts w:ascii="Arial Narrow" w:eastAsia="Arial Nova" w:hAnsi="Arial Narrow" w:cs="Arial Nova"/>
              </w:rPr>
              <w:t xml:space="preserve"> </w:t>
            </w:r>
            <w:r w:rsidR="005804FD" w:rsidRPr="00BF0387">
              <w:rPr>
                <w:rFonts w:ascii="Arial Narrow" w:eastAsia="Arial Nova" w:hAnsi="Arial Narrow" w:cs="Arial Nova"/>
              </w:rPr>
              <w:t>página</w:t>
            </w:r>
            <w:r w:rsidRPr="00BF0387">
              <w:rPr>
                <w:rFonts w:ascii="Arial Narrow" w:eastAsia="Arial Nova" w:hAnsi="Arial Narrow" w:cs="Arial Nova"/>
              </w:rPr>
              <w:t xml:space="preserve"> web institucional para generar información de interés para nuestros usuarios, se desarrolló la historia clínica institucional,  se generó el sistema de envíos de correos automáticos de documentación de contratos, agilizando el proceso en el área de contratación.</w:t>
            </w:r>
          </w:p>
          <w:p w14:paraId="7F269B3E" w14:textId="74B7FC07" w:rsidR="00AC0FBE" w:rsidRPr="00BF0387" w:rsidRDefault="00AC0FBE" w:rsidP="001D02FD">
            <w:pPr>
              <w:jc w:val="both"/>
              <w:rPr>
                <w:rFonts w:ascii="Arial Narrow" w:eastAsia="Arial Nova" w:hAnsi="Arial Narrow" w:cs="Arial Nova"/>
              </w:rPr>
            </w:pPr>
            <w:r w:rsidRPr="00BF0387">
              <w:rPr>
                <w:rFonts w:ascii="Arial Narrow" w:eastAsia="Arial Nova" w:hAnsi="Arial Narrow" w:cs="Arial Nova"/>
              </w:rPr>
              <w:t>Otro avance en área de TICS es el desarrollo de la aplicación PQRS, para que nuestros usuarios puedan tener seguimiento a las peticiones, quejas, sugerencias y reclamos que hayan instaurado.</w:t>
            </w:r>
          </w:p>
          <w:p w14:paraId="0289C958" w14:textId="7E339821" w:rsidR="00AC0FBE" w:rsidRPr="00BF0387" w:rsidRDefault="00AC0FBE" w:rsidP="001D02FD">
            <w:pPr>
              <w:jc w:val="both"/>
              <w:rPr>
                <w:rFonts w:ascii="Arial Narrow" w:eastAsia="Arial Nova" w:hAnsi="Arial Narrow" w:cs="Arial Nova"/>
              </w:rPr>
            </w:pPr>
            <w:r w:rsidRPr="00BF0387">
              <w:rPr>
                <w:rFonts w:ascii="Arial Narrow" w:eastAsia="Arial Nova" w:hAnsi="Arial Narrow" w:cs="Arial Nova"/>
              </w:rPr>
              <w:t>Termina la exposición el Dr. Prieto y se da el paso a la Dra. Rosario Roa, directora financiera</w:t>
            </w:r>
            <w:r w:rsidR="00833F66" w:rsidRPr="00BF0387">
              <w:rPr>
                <w:rFonts w:ascii="Arial Narrow" w:eastAsia="Arial Nova" w:hAnsi="Arial Narrow" w:cs="Arial Nova"/>
              </w:rPr>
              <w:t xml:space="preserve"> quien procede a desarrollar la gestión financiera de la institución.</w:t>
            </w:r>
          </w:p>
          <w:p w14:paraId="2F621595" w14:textId="592566AC" w:rsidR="00833F66" w:rsidRPr="00BF0387" w:rsidRDefault="00833F66" w:rsidP="001D02FD">
            <w:pPr>
              <w:jc w:val="both"/>
              <w:rPr>
                <w:rFonts w:ascii="Arial Narrow" w:eastAsia="Arial Nova" w:hAnsi="Arial Narrow" w:cs="Arial Nova"/>
              </w:rPr>
            </w:pPr>
            <w:r w:rsidRPr="00BF0387">
              <w:rPr>
                <w:rFonts w:ascii="Arial Narrow" w:eastAsia="Arial Nova" w:hAnsi="Arial Narrow" w:cs="Arial Nova"/>
              </w:rPr>
              <w:t>Inicia su intervención presentando el comportamiento de las ventas de servicios durante la vigencia 2022, denotando un incremento de las ventas en los meses correspondientes a la apertura de servicios como Unidades de cuidados intensivos pediátrico y neonatal, llegando a un total en ventas de $43.644 millones.</w:t>
            </w:r>
          </w:p>
          <w:p w14:paraId="6AB45EFE" w14:textId="6ABABA5B" w:rsidR="00833F66" w:rsidRPr="00BF0387" w:rsidRDefault="00833F66" w:rsidP="001D02FD">
            <w:pPr>
              <w:jc w:val="both"/>
              <w:rPr>
                <w:rFonts w:ascii="Arial Narrow" w:eastAsia="Arial Nova" w:hAnsi="Arial Narrow" w:cs="Arial Nova"/>
              </w:rPr>
            </w:pPr>
            <w:r w:rsidRPr="00BF0387">
              <w:rPr>
                <w:rFonts w:ascii="Arial Narrow" w:eastAsia="Arial Nova" w:hAnsi="Arial Narrow" w:cs="Arial Nova"/>
              </w:rPr>
              <w:t xml:space="preserve">Sigue con la presentación del comportamiento de la facturación, presenta gráfica que demuestra tendencia a </w:t>
            </w:r>
            <w:r w:rsidR="005804FD" w:rsidRPr="00BF0387">
              <w:rPr>
                <w:rFonts w:ascii="Arial Narrow" w:eastAsia="Arial Nova" w:hAnsi="Arial Narrow" w:cs="Arial Nova"/>
              </w:rPr>
              <w:t>crecimiento</w:t>
            </w:r>
            <w:r w:rsidRPr="00BF0387">
              <w:rPr>
                <w:rFonts w:ascii="Arial Narrow" w:eastAsia="Arial Nova" w:hAnsi="Arial Narrow" w:cs="Arial Nova"/>
              </w:rPr>
              <w:t xml:space="preserve"> lineal medido en 38%, que obedece a la gestión implementada en las áreas administrativa y asistencial, llegando a cifra de facturación efectiva durante la vigencia 2022 de   $40.815 millones.</w:t>
            </w:r>
          </w:p>
          <w:p w14:paraId="1CF479F2" w14:textId="0EB36956" w:rsidR="00833F66" w:rsidRPr="00BF0387" w:rsidRDefault="00833F66" w:rsidP="001D02FD">
            <w:pPr>
              <w:jc w:val="both"/>
              <w:rPr>
                <w:rFonts w:ascii="Arial Narrow" w:eastAsia="Arial Nova" w:hAnsi="Arial Narrow" w:cs="Arial Nova"/>
              </w:rPr>
            </w:pPr>
            <w:r w:rsidRPr="00BF0387">
              <w:rPr>
                <w:rFonts w:ascii="Arial Narrow" w:eastAsia="Arial Nova" w:hAnsi="Arial Narrow" w:cs="Arial Nova"/>
              </w:rPr>
              <w:t xml:space="preserve">Prosigue con la información sobre la radicación de la facturación </w:t>
            </w:r>
            <w:r w:rsidR="00E32B05" w:rsidRPr="00BF0387">
              <w:rPr>
                <w:rFonts w:ascii="Arial Narrow" w:eastAsia="Arial Nova" w:hAnsi="Arial Narrow" w:cs="Arial Nova"/>
              </w:rPr>
              <w:t>realizada,</w:t>
            </w:r>
            <w:r w:rsidRPr="00BF0387">
              <w:rPr>
                <w:rFonts w:ascii="Arial Narrow" w:eastAsia="Arial Nova" w:hAnsi="Arial Narrow" w:cs="Arial Nova"/>
              </w:rPr>
              <w:t xml:space="preserve"> en donde se observa de igual forma línea de crecimiento en un 40% alcanzando una radicación de $33.601 millones que obedecen a las acciones de acercamiento a las EPS, formalización y firma de contratos y gestiones administrativas.</w:t>
            </w:r>
          </w:p>
          <w:p w14:paraId="300C024F" w14:textId="4B3AAF0B" w:rsidR="00833F66" w:rsidRPr="00BF0387" w:rsidRDefault="00833F66" w:rsidP="001D02FD">
            <w:pPr>
              <w:jc w:val="both"/>
              <w:rPr>
                <w:rFonts w:ascii="Arial Narrow" w:eastAsia="Arial Nova" w:hAnsi="Arial Narrow" w:cs="Arial Nova"/>
              </w:rPr>
            </w:pPr>
            <w:r w:rsidRPr="00BF0387">
              <w:rPr>
                <w:rFonts w:ascii="Arial Narrow" w:eastAsia="Arial Nova" w:hAnsi="Arial Narrow" w:cs="Arial Nova"/>
              </w:rPr>
              <w:t xml:space="preserve">En cuanto al comportamiento de recaudo se observa de igual forma línea de crecimiento del 35% durante la vigencia 2022, como consecuencia de las </w:t>
            </w:r>
            <w:r w:rsidR="00E32B05" w:rsidRPr="00BF0387">
              <w:rPr>
                <w:rFonts w:ascii="Arial Narrow" w:eastAsia="Arial Nova" w:hAnsi="Arial Narrow" w:cs="Arial Nova"/>
              </w:rPr>
              <w:t>acciones de</w:t>
            </w:r>
            <w:r w:rsidRPr="00BF0387">
              <w:rPr>
                <w:rFonts w:ascii="Arial Narrow" w:eastAsia="Arial Nova" w:hAnsi="Arial Narrow" w:cs="Arial Nova"/>
              </w:rPr>
              <w:t xml:space="preserve"> acercamiento a las entidades pagadoras y conciliaciones de cartera realizadas por la gerencia y dirección financiera.</w:t>
            </w:r>
          </w:p>
          <w:p w14:paraId="2865B4D0" w14:textId="782466C0" w:rsidR="00833F66" w:rsidRPr="00BF0387" w:rsidRDefault="00833F66" w:rsidP="001D02FD">
            <w:pPr>
              <w:jc w:val="both"/>
              <w:rPr>
                <w:rFonts w:ascii="Arial Narrow" w:eastAsia="Arial Nova" w:hAnsi="Arial Narrow" w:cs="Arial Nova"/>
              </w:rPr>
            </w:pPr>
            <w:r w:rsidRPr="00BF0387">
              <w:rPr>
                <w:rFonts w:ascii="Arial Narrow" w:eastAsia="Arial Nova" w:hAnsi="Arial Narrow" w:cs="Arial Nova"/>
              </w:rPr>
              <w:t xml:space="preserve">Hace referencia al porcentaje de valores girados por las entidades responsables de </w:t>
            </w:r>
            <w:r w:rsidR="005804FD" w:rsidRPr="00BF0387">
              <w:rPr>
                <w:rFonts w:ascii="Arial Narrow" w:eastAsia="Arial Nova" w:hAnsi="Arial Narrow" w:cs="Arial Nova"/>
              </w:rPr>
              <w:t>pago,</w:t>
            </w:r>
            <w:r w:rsidRPr="00BF0387">
              <w:rPr>
                <w:rFonts w:ascii="Arial Narrow" w:eastAsia="Arial Nova" w:hAnsi="Arial Narrow" w:cs="Arial Nova"/>
              </w:rPr>
              <w:t xml:space="preserve"> demostrando que Coosalud, Mutual Ser y </w:t>
            </w:r>
            <w:r w:rsidR="005804FD" w:rsidRPr="00BF0387">
              <w:rPr>
                <w:rFonts w:ascii="Arial Narrow" w:eastAsia="Arial Nova" w:hAnsi="Arial Narrow" w:cs="Arial Nova"/>
              </w:rPr>
              <w:t>Cajacopi,</w:t>
            </w:r>
            <w:r w:rsidRPr="00BF0387">
              <w:rPr>
                <w:rFonts w:ascii="Arial Narrow" w:eastAsia="Arial Nova" w:hAnsi="Arial Narrow" w:cs="Arial Nova"/>
              </w:rPr>
              <w:t xml:space="preserve"> Salud Total y Gobernación del Atlántico son las entidades que </w:t>
            </w:r>
            <w:r w:rsidR="005804FD" w:rsidRPr="00BF0387">
              <w:rPr>
                <w:rFonts w:ascii="Arial Narrow" w:eastAsia="Arial Nova" w:hAnsi="Arial Narrow" w:cs="Arial Nova"/>
              </w:rPr>
              <w:t>más</w:t>
            </w:r>
            <w:r w:rsidRPr="00BF0387">
              <w:rPr>
                <w:rFonts w:ascii="Arial Narrow" w:eastAsia="Arial Nova" w:hAnsi="Arial Narrow" w:cs="Arial Nova"/>
              </w:rPr>
              <w:t xml:space="preserve"> han girado a la ESE.</w:t>
            </w:r>
          </w:p>
          <w:p w14:paraId="4C7FAC3B" w14:textId="200FA324" w:rsidR="00E32B05" w:rsidRPr="00BF0387" w:rsidRDefault="00E32B05" w:rsidP="001D02FD">
            <w:pPr>
              <w:jc w:val="both"/>
              <w:rPr>
                <w:rFonts w:ascii="Arial Narrow" w:eastAsia="Arial Nova" w:hAnsi="Arial Narrow" w:cs="Arial Nova"/>
              </w:rPr>
            </w:pPr>
            <w:r w:rsidRPr="00BF0387">
              <w:rPr>
                <w:rFonts w:ascii="Arial Narrow" w:eastAsia="Arial Nova" w:hAnsi="Arial Narrow" w:cs="Arial Nova"/>
              </w:rPr>
              <w:t xml:space="preserve">Sigue con la ejecución de ingresos a Diciembre del 2022, donde se observa que los movimientos presupuestales estuvieron alrededor del valor $33.835 </w:t>
            </w:r>
            <w:r w:rsidR="005804FD" w:rsidRPr="00BF0387">
              <w:rPr>
                <w:rFonts w:ascii="Arial Narrow" w:eastAsia="Arial Nova" w:hAnsi="Arial Narrow" w:cs="Arial Nova"/>
              </w:rPr>
              <w:t>millones,</w:t>
            </w:r>
            <w:r w:rsidRPr="00BF0387">
              <w:rPr>
                <w:rFonts w:ascii="Arial Narrow" w:eastAsia="Arial Nova" w:hAnsi="Arial Narrow" w:cs="Arial Nova"/>
              </w:rPr>
              <w:t xml:space="preserve"> llevando a un presupuesto definitivo de $132.000 millones, en esta vigencia se realizaron reconocimientos por un valor de $109.014 millones que es el mismo porcentaje que se dio en cumplimiento.</w:t>
            </w:r>
          </w:p>
          <w:p w14:paraId="7BA87F0D" w14:textId="354ACD44" w:rsidR="00E32B05" w:rsidRPr="00BF0387" w:rsidRDefault="00E32B05" w:rsidP="001D02FD">
            <w:pPr>
              <w:jc w:val="both"/>
              <w:rPr>
                <w:rFonts w:ascii="Arial Narrow" w:eastAsia="Arial Nova" w:hAnsi="Arial Narrow" w:cs="Arial Nova"/>
              </w:rPr>
            </w:pPr>
            <w:r w:rsidRPr="00BF0387">
              <w:rPr>
                <w:rFonts w:ascii="Arial Narrow" w:eastAsia="Arial Nova" w:hAnsi="Arial Narrow" w:cs="Arial Nova"/>
              </w:rPr>
              <w:t>Hace referencia seguidamente al reconocimiento por recaudos realizados, en cuanto a la ejecución de gastos y compromisos adquiridos, se efectuaron cdp por valor de $109.704 millones, esos mismos fueron comprometidos correspondiendo a un 8</w:t>
            </w:r>
            <w:r w:rsidR="00804D2F" w:rsidRPr="00BF0387">
              <w:rPr>
                <w:rFonts w:ascii="Arial Narrow" w:eastAsia="Arial Nova" w:hAnsi="Arial Narrow" w:cs="Arial Nova"/>
              </w:rPr>
              <w:t>3</w:t>
            </w:r>
            <w:r w:rsidRPr="00BF0387">
              <w:rPr>
                <w:rFonts w:ascii="Arial Narrow" w:eastAsia="Arial Nova" w:hAnsi="Arial Narrow" w:cs="Arial Nova"/>
              </w:rPr>
              <w:t>% del valor del presupuesto definitivo.</w:t>
            </w:r>
          </w:p>
          <w:p w14:paraId="353C1861" w14:textId="3170971A" w:rsidR="007B227B" w:rsidRPr="00BF0387" w:rsidRDefault="007B227B" w:rsidP="001D02FD">
            <w:pPr>
              <w:jc w:val="both"/>
              <w:rPr>
                <w:rFonts w:ascii="Arial Narrow" w:eastAsia="Arial Nova" w:hAnsi="Arial Narrow" w:cs="Arial Nova"/>
              </w:rPr>
            </w:pPr>
            <w:r w:rsidRPr="00BF0387">
              <w:rPr>
                <w:rFonts w:ascii="Arial Narrow" w:eastAsia="Arial Nova" w:hAnsi="Arial Narrow" w:cs="Arial Nova"/>
              </w:rPr>
              <w:t>Relaciona como valor de los pagos realizados por un valor de $68.273 millones correspondiendo a un 62% del total del valor obligado.</w:t>
            </w:r>
          </w:p>
          <w:p w14:paraId="0A4C53A8" w14:textId="6AF0A33A" w:rsidR="00804D2F" w:rsidRPr="00BF0387" w:rsidRDefault="007B227B" w:rsidP="001D02FD">
            <w:pPr>
              <w:jc w:val="both"/>
              <w:rPr>
                <w:rFonts w:ascii="Arial Narrow" w:eastAsia="Arial Nova" w:hAnsi="Arial Narrow" w:cs="Arial Nova"/>
              </w:rPr>
            </w:pPr>
            <w:r w:rsidRPr="00BF0387">
              <w:rPr>
                <w:rFonts w:ascii="Arial Narrow" w:eastAsia="Arial Nova" w:hAnsi="Arial Narrow" w:cs="Arial Nova"/>
              </w:rPr>
              <w:t>Seguidamente relaciona</w:t>
            </w:r>
            <w:r w:rsidR="00804D2F" w:rsidRPr="00BF0387">
              <w:rPr>
                <w:rFonts w:ascii="Arial Narrow" w:eastAsia="Arial Nova" w:hAnsi="Arial Narrow" w:cs="Arial Nova"/>
              </w:rPr>
              <w:t xml:space="preserve"> </w:t>
            </w:r>
            <w:r w:rsidRPr="00BF0387">
              <w:rPr>
                <w:rFonts w:ascii="Arial Narrow" w:eastAsia="Arial Nova" w:hAnsi="Arial Narrow" w:cs="Arial Nova"/>
              </w:rPr>
              <w:t xml:space="preserve">el comportamiento del gasto durante la </w:t>
            </w:r>
            <w:r w:rsidR="00DC6C3E" w:rsidRPr="00BF0387">
              <w:rPr>
                <w:rFonts w:ascii="Arial Narrow" w:eastAsia="Arial Nova" w:hAnsi="Arial Narrow" w:cs="Arial Nova"/>
              </w:rPr>
              <w:t>vigencia,</w:t>
            </w:r>
            <w:r w:rsidRPr="00BF0387">
              <w:rPr>
                <w:rFonts w:ascii="Arial Narrow" w:eastAsia="Arial Nova" w:hAnsi="Arial Narrow" w:cs="Arial Nova"/>
              </w:rPr>
              <w:t xml:space="preserve"> </w:t>
            </w:r>
            <w:r w:rsidR="00DC6C3E" w:rsidRPr="00BF0387">
              <w:rPr>
                <w:rFonts w:ascii="Arial Narrow" w:eastAsia="Arial Nova" w:hAnsi="Arial Narrow" w:cs="Arial Nova"/>
              </w:rPr>
              <w:t>observándose gastos</w:t>
            </w:r>
            <w:r w:rsidRPr="00BF0387">
              <w:rPr>
                <w:rFonts w:ascii="Arial Narrow" w:eastAsia="Arial Nova" w:hAnsi="Arial Narrow" w:cs="Arial Nova"/>
              </w:rPr>
              <w:t xml:space="preserve"> de funcionamiento por 20.736 millones, gastos de inversión por 23.746 millones, gastos de </w:t>
            </w:r>
            <w:r w:rsidR="005804FD" w:rsidRPr="00BF0387">
              <w:rPr>
                <w:rFonts w:ascii="Arial Narrow" w:eastAsia="Arial Nova" w:hAnsi="Arial Narrow" w:cs="Arial Nova"/>
              </w:rPr>
              <w:t xml:space="preserve">comercialización con un valor de </w:t>
            </w:r>
            <w:r w:rsidR="00804D2F" w:rsidRPr="00BF0387">
              <w:rPr>
                <w:rFonts w:ascii="Arial Narrow" w:eastAsia="Arial Nova" w:hAnsi="Arial Narrow" w:cs="Arial Nova"/>
              </w:rPr>
              <w:t xml:space="preserve">$58.780 millones y </w:t>
            </w:r>
            <w:r w:rsidR="008E79AF" w:rsidRPr="00BF0387">
              <w:rPr>
                <w:rFonts w:ascii="Arial Narrow" w:eastAsia="Arial Nova" w:hAnsi="Arial Narrow" w:cs="Arial Nova"/>
              </w:rPr>
              <w:t>por último</w:t>
            </w:r>
            <w:r w:rsidR="00804D2F" w:rsidRPr="00BF0387">
              <w:rPr>
                <w:rFonts w:ascii="Arial Narrow" w:eastAsia="Arial Nova" w:hAnsi="Arial Narrow" w:cs="Arial Nova"/>
              </w:rPr>
              <w:t xml:space="preserve"> las cuentas por pagar con un valor de $6.853 millones.</w:t>
            </w:r>
          </w:p>
          <w:p w14:paraId="68306485" w14:textId="0526618F" w:rsidR="00DC6C3E" w:rsidRPr="00BF0387" w:rsidRDefault="00804D2F" w:rsidP="001D02FD">
            <w:pPr>
              <w:jc w:val="both"/>
              <w:rPr>
                <w:rFonts w:ascii="Arial Narrow" w:eastAsia="Arial Nova" w:hAnsi="Arial Narrow" w:cs="Arial Nova"/>
              </w:rPr>
            </w:pPr>
            <w:r w:rsidRPr="00BF0387">
              <w:rPr>
                <w:rFonts w:ascii="Arial Narrow" w:eastAsia="Arial Nova" w:hAnsi="Arial Narrow" w:cs="Arial Nova"/>
              </w:rPr>
              <w:lastRenderedPageBreak/>
              <w:t>Procede</w:t>
            </w:r>
            <w:r w:rsidR="00DC6C3E" w:rsidRPr="00BF0387">
              <w:rPr>
                <w:rFonts w:ascii="Arial Narrow" w:eastAsia="Arial Nova" w:hAnsi="Arial Narrow" w:cs="Arial Nova"/>
              </w:rPr>
              <w:t xml:space="preserve"> a presentar los indicadores presupuestales y el resultado de los estados financieros donde presenta total de activos de 108.000 millones en comparación con vigencia 2021 que estaban los activos 33.627 millones, total pasivos por un valor de $33.314 millones y el pasivo más patrimonio ascendió a 108.548 millones.</w:t>
            </w:r>
          </w:p>
          <w:p w14:paraId="3DAB6355" w14:textId="76E629CF" w:rsidR="00DC6C3E" w:rsidRPr="00BF0387" w:rsidRDefault="00DC6C3E" w:rsidP="001D02FD">
            <w:pPr>
              <w:jc w:val="both"/>
              <w:rPr>
                <w:rFonts w:ascii="Arial Narrow" w:eastAsia="Arial Nova" w:hAnsi="Arial Narrow" w:cs="Arial Nova"/>
              </w:rPr>
            </w:pPr>
            <w:r w:rsidRPr="00BF0387">
              <w:rPr>
                <w:rFonts w:ascii="Arial Narrow" w:eastAsia="Arial Nova" w:hAnsi="Arial Narrow" w:cs="Arial Nova"/>
              </w:rPr>
              <w:t>En cuanto a las ventas de servicios de salud alcanzó un valor de 40.815 millones y que arrojó al final del ejercicio un resultado de (-18.023 millones).</w:t>
            </w:r>
          </w:p>
          <w:p w14:paraId="7D861497" w14:textId="11B58106" w:rsidR="00DC6C3E" w:rsidRPr="00BF0387" w:rsidRDefault="00DC6C3E" w:rsidP="001D02FD">
            <w:pPr>
              <w:jc w:val="both"/>
              <w:rPr>
                <w:rFonts w:ascii="Arial Narrow" w:eastAsia="Arial Nova" w:hAnsi="Arial Narrow" w:cs="Arial Nova"/>
              </w:rPr>
            </w:pPr>
            <w:r w:rsidRPr="00BF0387">
              <w:rPr>
                <w:rFonts w:ascii="Arial Narrow" w:eastAsia="Arial Nova" w:hAnsi="Arial Narrow" w:cs="Arial Nova"/>
              </w:rPr>
              <w:t>Termina la intervención la Dra. rosario, y se da paso a video donde se muestra los adelantos en los servicios de cirugía (quirófanos) de la sede hospital de Sabanalarga.</w:t>
            </w:r>
          </w:p>
          <w:p w14:paraId="1CF02129" w14:textId="77D906E1" w:rsidR="00DC6C3E" w:rsidRPr="00BF0387" w:rsidRDefault="00E861A1" w:rsidP="001D02FD">
            <w:pPr>
              <w:jc w:val="both"/>
              <w:rPr>
                <w:rFonts w:ascii="Arial Narrow" w:eastAsia="Arial Nova" w:hAnsi="Arial Narrow" w:cs="Arial Nova"/>
              </w:rPr>
            </w:pPr>
            <w:r w:rsidRPr="00BF0387">
              <w:rPr>
                <w:rFonts w:ascii="Arial Narrow" w:eastAsia="Arial Nova" w:hAnsi="Arial Narrow" w:cs="Arial Nova"/>
              </w:rPr>
              <w:t xml:space="preserve">Se da paso al </w:t>
            </w:r>
            <w:r w:rsidR="009010EC" w:rsidRPr="00BF0387">
              <w:rPr>
                <w:rFonts w:ascii="Arial Narrow" w:eastAsia="Arial Nova" w:hAnsi="Arial Narrow" w:cs="Arial Nova"/>
              </w:rPr>
              <w:t>Dr.</w:t>
            </w:r>
            <w:r w:rsidRPr="00BF0387">
              <w:rPr>
                <w:rFonts w:ascii="Arial Narrow" w:eastAsia="Arial Nova" w:hAnsi="Arial Narrow" w:cs="Arial Nova"/>
              </w:rPr>
              <w:t xml:space="preserve"> Cormane quien </w:t>
            </w:r>
            <w:r w:rsidR="008D47E0" w:rsidRPr="00BF0387">
              <w:rPr>
                <w:rFonts w:ascii="Arial Narrow" w:eastAsia="Arial Nova" w:hAnsi="Arial Narrow" w:cs="Arial Nova"/>
              </w:rPr>
              <w:t>responderá las</w:t>
            </w:r>
            <w:r w:rsidRPr="00BF0387">
              <w:rPr>
                <w:rFonts w:ascii="Arial Narrow" w:eastAsia="Arial Nova" w:hAnsi="Arial Narrow" w:cs="Arial Nova"/>
              </w:rPr>
              <w:t xml:space="preserve"> preguntas recibidas:</w:t>
            </w:r>
          </w:p>
          <w:p w14:paraId="6EA3B356" w14:textId="77777777" w:rsidR="00FA1EA2" w:rsidRPr="00BF0387" w:rsidRDefault="00E861A1" w:rsidP="00E861A1">
            <w:pPr>
              <w:pStyle w:val="Prrafodelista"/>
              <w:numPr>
                <w:ilvl w:val="0"/>
                <w:numId w:val="3"/>
              </w:numPr>
              <w:jc w:val="both"/>
              <w:rPr>
                <w:rFonts w:ascii="Arial Narrow" w:eastAsia="Arial Nova" w:hAnsi="Arial Narrow" w:cs="Arial Nova"/>
              </w:rPr>
            </w:pPr>
            <w:r w:rsidRPr="00BF0387">
              <w:rPr>
                <w:rFonts w:ascii="Arial Narrow" w:eastAsia="Arial Nova" w:hAnsi="Arial Narrow" w:cs="Arial Nova"/>
              </w:rPr>
              <w:t xml:space="preserve">Vivo en </w:t>
            </w:r>
            <w:r w:rsidR="008D47E0" w:rsidRPr="00BF0387">
              <w:rPr>
                <w:rFonts w:ascii="Arial Narrow" w:eastAsia="Arial Nova" w:hAnsi="Arial Narrow" w:cs="Arial Nova"/>
              </w:rPr>
              <w:t>el barrio</w:t>
            </w:r>
            <w:r w:rsidRPr="00BF0387">
              <w:rPr>
                <w:rFonts w:ascii="Arial Narrow" w:eastAsia="Arial Nova" w:hAnsi="Arial Narrow" w:cs="Arial Nova"/>
              </w:rPr>
              <w:t xml:space="preserve"> los andes cerca donde funcione la alta </w:t>
            </w:r>
            <w:r w:rsidR="008D47E0" w:rsidRPr="00BF0387">
              <w:rPr>
                <w:rFonts w:ascii="Arial Narrow" w:eastAsia="Arial Nova" w:hAnsi="Arial Narrow" w:cs="Arial Nova"/>
              </w:rPr>
              <w:t>complejidad,</w:t>
            </w:r>
            <w:r w:rsidRPr="00BF0387">
              <w:rPr>
                <w:rFonts w:ascii="Arial Narrow" w:eastAsia="Arial Nova" w:hAnsi="Arial Narrow" w:cs="Arial Nova"/>
              </w:rPr>
              <w:t xml:space="preserve"> me gustaría saber porque si ya se abrió el hospital </w:t>
            </w:r>
          </w:p>
          <w:p w14:paraId="1FA5DE22" w14:textId="51E8E4F0" w:rsidR="00E861A1" w:rsidRPr="00BF0387" w:rsidRDefault="00E861A1" w:rsidP="00FA1EA2">
            <w:pPr>
              <w:jc w:val="both"/>
              <w:rPr>
                <w:rFonts w:ascii="Arial Narrow" w:eastAsia="Arial Nova" w:hAnsi="Arial Narrow" w:cs="Arial Nova"/>
              </w:rPr>
            </w:pPr>
            <w:r w:rsidRPr="00BF0387">
              <w:rPr>
                <w:rFonts w:ascii="Arial Narrow" w:eastAsia="Arial Nova" w:hAnsi="Arial Narrow" w:cs="Arial Nova"/>
              </w:rPr>
              <w:t>se ha abierto el servicio de urgencias.</w:t>
            </w:r>
          </w:p>
          <w:p w14:paraId="03A1223E" w14:textId="049CC6D7" w:rsidR="008D47E0" w:rsidRPr="00BF0387" w:rsidRDefault="00E861A1" w:rsidP="00E861A1">
            <w:pPr>
              <w:jc w:val="both"/>
              <w:rPr>
                <w:rFonts w:ascii="Arial Narrow" w:eastAsia="Arial Nova" w:hAnsi="Arial Narrow" w:cs="Arial Nova"/>
              </w:rPr>
            </w:pPr>
            <w:r w:rsidRPr="00BF0387">
              <w:rPr>
                <w:rFonts w:ascii="Arial Narrow" w:eastAsia="Arial Nova" w:hAnsi="Arial Narrow" w:cs="Arial Nova"/>
              </w:rPr>
              <w:t xml:space="preserve">Rta: </w:t>
            </w:r>
            <w:r w:rsidR="005E14E1" w:rsidRPr="00BF0387">
              <w:rPr>
                <w:rFonts w:ascii="Arial Narrow" w:eastAsia="Arial Nova" w:hAnsi="Arial Narrow" w:cs="Arial Nova"/>
              </w:rPr>
              <w:t xml:space="preserve">Responde </w:t>
            </w:r>
            <w:r w:rsidRPr="00BF0387">
              <w:rPr>
                <w:rFonts w:ascii="Arial Narrow" w:eastAsia="Arial Nova" w:hAnsi="Arial Narrow" w:cs="Arial Nova"/>
              </w:rPr>
              <w:t xml:space="preserve">el </w:t>
            </w:r>
            <w:r w:rsidR="008D47E0" w:rsidRPr="00BF0387">
              <w:rPr>
                <w:rFonts w:ascii="Arial Narrow" w:eastAsia="Arial Nova" w:hAnsi="Arial Narrow" w:cs="Arial Nova"/>
              </w:rPr>
              <w:t>Dr.</w:t>
            </w:r>
            <w:r w:rsidRPr="00BF0387">
              <w:rPr>
                <w:rFonts w:ascii="Arial Narrow" w:eastAsia="Arial Nova" w:hAnsi="Arial Narrow" w:cs="Arial Nova"/>
              </w:rPr>
              <w:t xml:space="preserve"> cormane que al crear esta sede se contempló como entidad para recibir los pacientes remitidos de las sedes Sabanalarga, soledad e incluso sede mental a diferencia de los años anteriores</w:t>
            </w:r>
            <w:r w:rsidR="008D47E0" w:rsidRPr="00BF0387">
              <w:rPr>
                <w:rFonts w:ascii="Arial Narrow" w:eastAsia="Arial Nova" w:hAnsi="Arial Narrow" w:cs="Arial Nova"/>
              </w:rPr>
              <w:t>, actualmente se encuentra en revisión este tema en particular, hay acercamientos con la secretaría de salud distrital con el fin de analizar si la apertura de los servicios de urgencias pueden ser una buena alternativa en la ciudad. En resumen, no estaba en el modelo de red pero actualmente se encuentra en revisión.</w:t>
            </w:r>
          </w:p>
          <w:p w14:paraId="5DD4C91D" w14:textId="77777777" w:rsidR="00FA1EA2" w:rsidRPr="00BF0387" w:rsidRDefault="008518F5" w:rsidP="008D47E0">
            <w:pPr>
              <w:pStyle w:val="Prrafodelista"/>
              <w:numPr>
                <w:ilvl w:val="0"/>
                <w:numId w:val="3"/>
              </w:numPr>
              <w:jc w:val="both"/>
              <w:rPr>
                <w:rFonts w:ascii="Arial Narrow" w:eastAsia="Arial Nova" w:hAnsi="Arial Narrow" w:cs="Arial Nova"/>
              </w:rPr>
            </w:pPr>
            <w:r w:rsidRPr="00BF0387">
              <w:rPr>
                <w:rFonts w:ascii="Arial Narrow" w:eastAsia="Arial Nova" w:hAnsi="Arial Narrow" w:cs="Arial Nova"/>
              </w:rPr>
              <w:t>¿Si estoy siendo atendido en el hospital de palmar de Varela y requiero una remisión para ya, que debo hacer en el hospital</w:t>
            </w:r>
          </w:p>
          <w:p w14:paraId="64E877D3" w14:textId="75DA96B6" w:rsidR="008D47E0" w:rsidRPr="00BF0387" w:rsidRDefault="008518F5" w:rsidP="00FA1EA2">
            <w:pPr>
              <w:jc w:val="both"/>
              <w:rPr>
                <w:rFonts w:ascii="Arial Narrow" w:eastAsia="Arial Nova" w:hAnsi="Arial Narrow" w:cs="Arial Nova"/>
              </w:rPr>
            </w:pPr>
            <w:r w:rsidRPr="00BF0387">
              <w:rPr>
                <w:rFonts w:ascii="Arial Narrow" w:eastAsia="Arial Nova" w:hAnsi="Arial Narrow" w:cs="Arial Nova"/>
              </w:rPr>
              <w:t>para que me envíen a alta complejidad?</w:t>
            </w:r>
          </w:p>
          <w:p w14:paraId="2264352F" w14:textId="258C7218" w:rsidR="008518F5" w:rsidRPr="00BF0387" w:rsidRDefault="008518F5" w:rsidP="008518F5">
            <w:pPr>
              <w:jc w:val="both"/>
              <w:rPr>
                <w:rFonts w:ascii="Arial Narrow" w:eastAsia="Arial Nova" w:hAnsi="Arial Narrow" w:cs="Arial Nova"/>
              </w:rPr>
            </w:pPr>
            <w:r w:rsidRPr="00BF0387">
              <w:rPr>
                <w:rFonts w:ascii="Arial Narrow" w:eastAsia="Arial Nova" w:hAnsi="Arial Narrow" w:cs="Arial Nova"/>
              </w:rPr>
              <w:t xml:space="preserve">Rta: inicia el Dr. cormane felicitando a la población de palmar de Varela por la reciente inauguración del hospital del municipio que fue remodelado por la gobernación, si algún hospital del departamento del atlántico </w:t>
            </w:r>
            <w:r w:rsidR="007A481A" w:rsidRPr="00BF0387">
              <w:rPr>
                <w:rFonts w:ascii="Arial Narrow" w:eastAsia="Arial Nova" w:hAnsi="Arial Narrow" w:cs="Arial Nova"/>
              </w:rPr>
              <w:t>requiere trasladar</w:t>
            </w:r>
            <w:r w:rsidRPr="00BF0387">
              <w:rPr>
                <w:rFonts w:ascii="Arial Narrow" w:eastAsia="Arial Nova" w:hAnsi="Arial Narrow" w:cs="Arial Nova"/>
              </w:rPr>
              <w:t xml:space="preserve"> cualquier paciente al la sede de alta </w:t>
            </w:r>
            <w:r w:rsidR="00954A7A" w:rsidRPr="00BF0387">
              <w:rPr>
                <w:rFonts w:ascii="Arial Narrow" w:eastAsia="Arial Nova" w:hAnsi="Arial Narrow" w:cs="Arial Nova"/>
              </w:rPr>
              <w:t>complejidad,</w:t>
            </w:r>
            <w:r w:rsidRPr="00BF0387">
              <w:rPr>
                <w:rFonts w:ascii="Arial Narrow" w:eastAsia="Arial Nova" w:hAnsi="Arial Narrow" w:cs="Arial Nova"/>
              </w:rPr>
              <w:t xml:space="preserve"> este debe ser puesto en conocimiento en el centro regulador de urgencias y al del departamento quien de acuerdo al estado del paciente podrá realizar remisión del paciente.</w:t>
            </w:r>
          </w:p>
          <w:p w14:paraId="69583A55" w14:textId="09B7A1DE" w:rsidR="008518F5" w:rsidRPr="00BF0387" w:rsidRDefault="00FA1EA2" w:rsidP="008518F5">
            <w:pPr>
              <w:pStyle w:val="Prrafodelista"/>
              <w:numPr>
                <w:ilvl w:val="0"/>
                <w:numId w:val="3"/>
              </w:numPr>
              <w:jc w:val="both"/>
              <w:rPr>
                <w:rFonts w:ascii="Arial Narrow" w:eastAsia="Arial Nova" w:hAnsi="Arial Narrow" w:cs="Arial Nova"/>
              </w:rPr>
            </w:pPr>
            <w:r w:rsidRPr="00BF0387">
              <w:rPr>
                <w:rFonts w:ascii="Arial Narrow" w:eastAsia="Arial Nova" w:hAnsi="Arial Narrow" w:cs="Arial Nova"/>
              </w:rPr>
              <w:t>¿Si vivo en Bolívar en Santa Catalina Como hago para ser atendido en Sabanalarga, Atlántico?</w:t>
            </w:r>
          </w:p>
          <w:p w14:paraId="5AC7A6DD" w14:textId="31D60CC8" w:rsidR="008518F5" w:rsidRPr="00BF0387" w:rsidRDefault="008518F5" w:rsidP="008518F5">
            <w:pPr>
              <w:jc w:val="both"/>
              <w:rPr>
                <w:rFonts w:ascii="Arial Narrow" w:eastAsia="Arial Nova" w:hAnsi="Arial Narrow" w:cs="Arial Nova"/>
              </w:rPr>
            </w:pPr>
            <w:r w:rsidRPr="00BF0387">
              <w:rPr>
                <w:rFonts w:ascii="Arial Narrow" w:eastAsia="Arial Nova" w:hAnsi="Arial Narrow" w:cs="Arial Nova"/>
              </w:rPr>
              <w:t xml:space="preserve">Rta: </w:t>
            </w:r>
            <w:r w:rsidR="005E14E1" w:rsidRPr="00BF0387">
              <w:rPr>
                <w:rFonts w:ascii="Arial Narrow" w:eastAsia="Arial Nova" w:hAnsi="Arial Narrow" w:cs="Arial Nova"/>
              </w:rPr>
              <w:t>Toma la palabra el Dr cormane mencionando que h</w:t>
            </w:r>
            <w:r w:rsidRPr="00BF0387">
              <w:rPr>
                <w:rFonts w:ascii="Arial Narrow" w:eastAsia="Arial Nova" w:hAnsi="Arial Narrow" w:cs="Arial Nova"/>
              </w:rPr>
              <w:t xml:space="preserve">ay municipios del departamento de bolívar, en este caso el derecho fundamental a la salud no permite que sea un obstáculo que viva en un departamento diferente, si tiene urgencia de solucionar su problema debe ser atendido y para estos casos existe también la portabilidad. En otras cosas por que la contratación con las diferentes eps no restringe que la población sea </w:t>
            </w:r>
            <w:r w:rsidR="005804FD" w:rsidRPr="00BF0387">
              <w:rPr>
                <w:rFonts w:ascii="Arial Narrow" w:eastAsia="Arial Nova" w:hAnsi="Arial Narrow" w:cs="Arial Nova"/>
              </w:rPr>
              <w:t>solo</w:t>
            </w:r>
            <w:r w:rsidRPr="00BF0387">
              <w:rPr>
                <w:rFonts w:ascii="Arial Narrow" w:eastAsia="Arial Nova" w:hAnsi="Arial Narrow" w:cs="Arial Nova"/>
              </w:rPr>
              <w:t xml:space="preserve"> del atlántico, son nuestra </w:t>
            </w:r>
            <w:r w:rsidR="007A481A" w:rsidRPr="00BF0387">
              <w:rPr>
                <w:rFonts w:ascii="Arial Narrow" w:eastAsia="Arial Nova" w:hAnsi="Arial Narrow" w:cs="Arial Nova"/>
              </w:rPr>
              <w:t>prioridad,</w:t>
            </w:r>
            <w:r w:rsidRPr="00BF0387">
              <w:rPr>
                <w:rFonts w:ascii="Arial Narrow" w:eastAsia="Arial Nova" w:hAnsi="Arial Narrow" w:cs="Arial Nova"/>
              </w:rPr>
              <w:t xml:space="preserve"> pero si se necesita podemos brindar atención.</w:t>
            </w:r>
          </w:p>
          <w:p w14:paraId="0FB7EA13" w14:textId="77777777" w:rsidR="005E14E1" w:rsidRPr="00BF0387" w:rsidRDefault="005E14E1" w:rsidP="008518F5">
            <w:pPr>
              <w:jc w:val="both"/>
              <w:rPr>
                <w:rFonts w:ascii="Arial Narrow" w:eastAsia="Arial Nova" w:hAnsi="Arial Narrow" w:cs="Arial Nova"/>
              </w:rPr>
            </w:pPr>
          </w:p>
          <w:p w14:paraId="77554701" w14:textId="424747CD" w:rsidR="005E14E1" w:rsidRPr="00BF0387" w:rsidRDefault="005E14E1" w:rsidP="008518F5">
            <w:pPr>
              <w:jc w:val="both"/>
              <w:rPr>
                <w:rFonts w:ascii="Arial Narrow" w:eastAsia="Arial Nova" w:hAnsi="Arial Narrow" w:cs="Arial Nova"/>
              </w:rPr>
            </w:pPr>
            <w:r w:rsidRPr="00BF0387">
              <w:rPr>
                <w:rFonts w:ascii="Arial Narrow" w:eastAsia="Arial Nova" w:hAnsi="Arial Narrow" w:cs="Arial Nova"/>
              </w:rPr>
              <w:t xml:space="preserve">Se recibieron de igual forma las </w:t>
            </w:r>
            <w:r w:rsidR="005804FD" w:rsidRPr="00BF0387">
              <w:rPr>
                <w:rFonts w:ascii="Arial Narrow" w:eastAsia="Arial Nova" w:hAnsi="Arial Narrow" w:cs="Arial Nova"/>
              </w:rPr>
              <w:t>siguientes preguntas</w:t>
            </w:r>
            <w:r w:rsidRPr="00BF0387">
              <w:rPr>
                <w:rFonts w:ascii="Arial Narrow" w:eastAsia="Arial Nova" w:hAnsi="Arial Narrow" w:cs="Arial Nova"/>
              </w:rPr>
              <w:t xml:space="preserve"> y se</w:t>
            </w:r>
            <w:r w:rsidR="005804FD" w:rsidRPr="00BF0387">
              <w:rPr>
                <w:rFonts w:ascii="Arial Narrow" w:eastAsia="Arial Nova" w:hAnsi="Arial Narrow" w:cs="Arial Nova"/>
              </w:rPr>
              <w:t xml:space="preserve"> procede </w:t>
            </w:r>
            <w:r w:rsidR="009010EC" w:rsidRPr="00BF0387">
              <w:rPr>
                <w:rFonts w:ascii="Arial Narrow" w:eastAsia="Arial Nova" w:hAnsi="Arial Narrow" w:cs="Arial Nova"/>
              </w:rPr>
              <w:t>dar respuesta</w:t>
            </w:r>
            <w:r w:rsidRPr="00BF0387">
              <w:rPr>
                <w:rFonts w:ascii="Arial Narrow" w:eastAsia="Arial Nova" w:hAnsi="Arial Narrow" w:cs="Arial Nova"/>
              </w:rPr>
              <w:t xml:space="preserve"> a través de esta </w:t>
            </w:r>
            <w:r w:rsidR="005804FD" w:rsidRPr="00BF0387">
              <w:rPr>
                <w:rFonts w:ascii="Arial Narrow" w:eastAsia="Arial Nova" w:hAnsi="Arial Narrow" w:cs="Arial Nova"/>
              </w:rPr>
              <w:t>acta ya</w:t>
            </w:r>
            <w:r w:rsidRPr="00BF0387">
              <w:rPr>
                <w:rFonts w:ascii="Arial Narrow" w:eastAsia="Arial Nova" w:hAnsi="Arial Narrow" w:cs="Arial Nova"/>
              </w:rPr>
              <w:t xml:space="preserve"> que no dejaron correos electrónicos.</w:t>
            </w:r>
          </w:p>
          <w:p w14:paraId="64E712E3" w14:textId="31ECDEC5" w:rsidR="00FA1EA2" w:rsidRPr="00BF0387" w:rsidRDefault="00FA1EA2" w:rsidP="00FA1EA2">
            <w:pPr>
              <w:pStyle w:val="Prrafodelista"/>
              <w:numPr>
                <w:ilvl w:val="0"/>
                <w:numId w:val="3"/>
              </w:numPr>
              <w:jc w:val="both"/>
              <w:rPr>
                <w:rFonts w:ascii="Arial Narrow" w:eastAsia="Arial Nova" w:hAnsi="Arial Narrow" w:cs="Arial Nova"/>
              </w:rPr>
            </w:pPr>
            <w:r w:rsidRPr="00BF0387">
              <w:rPr>
                <w:rFonts w:ascii="Arial Narrow" w:eastAsia="Arial Nova" w:hAnsi="Arial Narrow" w:cs="Arial Nova"/>
              </w:rPr>
              <w:t>¿Cuándo abren oncología en el CACE Pediátrico?</w:t>
            </w:r>
          </w:p>
          <w:p w14:paraId="383BC5ED" w14:textId="77777777" w:rsidR="007307B7" w:rsidRPr="00BF0387" w:rsidRDefault="00FA1EA2" w:rsidP="007307B7">
            <w:pPr>
              <w:jc w:val="both"/>
              <w:rPr>
                <w:rStyle w:val="contentpasted0"/>
                <w:rFonts w:ascii="Arial" w:hAnsi="Arial" w:cs="Arial"/>
                <w:bdr w:val="none" w:sz="0" w:space="0" w:color="auto" w:frame="1"/>
                <w:shd w:val="clear" w:color="auto" w:fill="FFFFFF"/>
              </w:rPr>
            </w:pPr>
            <w:r w:rsidRPr="00BF0387">
              <w:rPr>
                <w:rFonts w:ascii="Arial Narrow" w:eastAsia="Arial Nova" w:hAnsi="Arial Narrow" w:cs="Arial Nova"/>
              </w:rPr>
              <w:t xml:space="preserve">Rta: </w:t>
            </w:r>
            <w:r w:rsidR="007307B7" w:rsidRPr="00BF0387">
              <w:rPr>
                <w:rStyle w:val="contentpasted0"/>
                <w:rFonts w:ascii="Arial" w:hAnsi="Arial" w:cs="Arial"/>
                <w:bdr w:val="none" w:sz="0" w:space="0" w:color="auto" w:frame="1"/>
                <w:shd w:val="clear" w:color="auto" w:fill="FFFFFF"/>
              </w:rPr>
              <w:t>La ESE UNIVERSITARIA adelanta los trámites administrativos   y asistenciales   internos, así como ante la entidad territorial (procesos de habilitación en el registro especial de prestadores) para poder realizar el proceso de certificación del servicio, una vez se surtan estas fases se procederá a realizar la apertura y puesta en marcha del servicio. </w:t>
            </w:r>
          </w:p>
          <w:p w14:paraId="1B3D3F95" w14:textId="6FFA06C4" w:rsidR="00954A7A" w:rsidRPr="00BF0387" w:rsidRDefault="005804FD" w:rsidP="007307B7">
            <w:pPr>
              <w:pStyle w:val="Prrafodelista"/>
              <w:numPr>
                <w:ilvl w:val="0"/>
                <w:numId w:val="3"/>
              </w:numPr>
              <w:jc w:val="both"/>
              <w:rPr>
                <w:rFonts w:ascii="Arial Narrow" w:eastAsia="Arial Nova" w:hAnsi="Arial Narrow" w:cs="Arial Nova"/>
              </w:rPr>
            </w:pPr>
            <w:r w:rsidRPr="00BF0387">
              <w:rPr>
                <w:rFonts w:ascii="Arial Narrow" w:eastAsia="Arial Nova" w:hAnsi="Arial Narrow" w:cs="Arial Nova"/>
              </w:rPr>
              <w:t>¿Qué pasa con cirugía pediátrica en CACE PEDIÁTRICO?</w:t>
            </w:r>
          </w:p>
          <w:p w14:paraId="4EE95050" w14:textId="18AA5DB2" w:rsidR="00AD7D45" w:rsidRPr="00AD7D45" w:rsidRDefault="00AD4B3F" w:rsidP="00AD7D45">
            <w:pPr>
              <w:spacing w:after="160" w:line="259" w:lineRule="auto"/>
              <w:jc w:val="both"/>
              <w:textAlignment w:val="baseline"/>
              <w:rPr>
                <w:rFonts w:ascii="Arial Narrow" w:eastAsia="Times New Roman" w:hAnsi="Arial Narrow" w:cs="Calibri"/>
                <w:lang w:eastAsia="es-CO"/>
              </w:rPr>
            </w:pPr>
            <w:r w:rsidRPr="00BF0387">
              <w:rPr>
                <w:rFonts w:ascii="Arial Narrow" w:eastAsia="Arial Nova" w:hAnsi="Arial Narrow" w:cs="Arial Nova"/>
              </w:rPr>
              <w:t xml:space="preserve">Rta: </w:t>
            </w:r>
            <w:r w:rsidR="00AD7D45" w:rsidRPr="00BF0387">
              <w:rPr>
                <w:rFonts w:ascii="Arial Narrow" w:eastAsia="Times New Roman" w:hAnsi="Arial Narrow" w:cs="Arial"/>
                <w:bdr w:val="none" w:sz="0" w:space="0" w:color="auto" w:frame="1"/>
                <w:lang w:eastAsia="es-CO"/>
              </w:rPr>
              <w:t>La E.S.E UNIVERSITARIA DEL ATLÁNTICO, comprometida con el cumplimiento de las normas que rigen la prestación de servicios de salud y el Sistema Obligatorio de Garantía de la Calidad, adelanta proceso de adecuación de infraestructura en todas las sedes de la entidad. </w:t>
            </w:r>
            <w:r w:rsidR="00AD7D45" w:rsidRPr="00AD7D45">
              <w:rPr>
                <w:rFonts w:ascii="Arial Narrow" w:eastAsia="Times New Roman" w:hAnsi="Arial Narrow" w:cs="Arial"/>
                <w:bdr w:val="none" w:sz="0" w:space="0" w:color="auto" w:frame="1"/>
                <w:lang w:eastAsia="es-CO"/>
              </w:rPr>
              <w:t>En el CACE PEDIÁTRICO actualmente se interviene el servicio de cirugía, por lo que se documentó plan contingencia, garantizando la prestación del servicio sin alteraciones cumpliendo con la programación y la demanda del servicio.</w:t>
            </w:r>
          </w:p>
          <w:p w14:paraId="309D99B4" w14:textId="77777777" w:rsidR="00FA1EA2" w:rsidRPr="00BF0387" w:rsidRDefault="00FA1EA2" w:rsidP="008518F5">
            <w:pPr>
              <w:jc w:val="both"/>
              <w:rPr>
                <w:rFonts w:ascii="Arial Narrow" w:eastAsia="Arial Nova" w:hAnsi="Arial Narrow" w:cs="Arial Nova"/>
              </w:rPr>
            </w:pPr>
          </w:p>
          <w:p w14:paraId="0C7B9FBB" w14:textId="61E3ABD0" w:rsidR="008518F5" w:rsidRPr="00BF0387" w:rsidRDefault="008518F5" w:rsidP="008518F5">
            <w:pPr>
              <w:jc w:val="both"/>
              <w:rPr>
                <w:rFonts w:ascii="Arial Narrow" w:eastAsia="Arial Nova" w:hAnsi="Arial Narrow" w:cs="Arial Nova"/>
              </w:rPr>
            </w:pPr>
            <w:r w:rsidRPr="00BF0387">
              <w:rPr>
                <w:rFonts w:ascii="Arial Narrow" w:eastAsia="Arial Nova" w:hAnsi="Arial Narrow" w:cs="Arial Nova"/>
              </w:rPr>
              <w:t xml:space="preserve">Se concluye la rendición de cuentas y se da </w:t>
            </w:r>
            <w:r w:rsidR="007A481A" w:rsidRPr="00BF0387">
              <w:rPr>
                <w:rFonts w:ascii="Arial Narrow" w:eastAsia="Arial Nova" w:hAnsi="Arial Narrow" w:cs="Arial Nova"/>
              </w:rPr>
              <w:t>cierre a la presentación de nuestros expositores. Se dan las gracias a las personas que participaron y se unieron a esta rendición de cuentas.</w:t>
            </w:r>
          </w:p>
          <w:p w14:paraId="2D449A11" w14:textId="77777777" w:rsidR="007A481A" w:rsidRPr="00BF0387" w:rsidRDefault="007A481A" w:rsidP="008518F5">
            <w:pPr>
              <w:jc w:val="both"/>
              <w:rPr>
                <w:rFonts w:ascii="Arial Narrow" w:eastAsia="Arial Nova" w:hAnsi="Arial Narrow" w:cs="Arial Nova"/>
              </w:rPr>
            </w:pPr>
          </w:p>
          <w:p w14:paraId="0C2AD7A9" w14:textId="77777777" w:rsidR="008518F5" w:rsidRPr="00BF0387" w:rsidRDefault="008518F5" w:rsidP="008518F5">
            <w:pPr>
              <w:jc w:val="both"/>
              <w:rPr>
                <w:rFonts w:ascii="Arial Narrow" w:eastAsia="Arial Nova" w:hAnsi="Arial Narrow" w:cs="Arial Nova"/>
              </w:rPr>
            </w:pPr>
          </w:p>
          <w:p w14:paraId="347C96F8" w14:textId="3DAEFF52" w:rsidR="008518F5" w:rsidRPr="00BF0387" w:rsidRDefault="008518F5" w:rsidP="008518F5">
            <w:pPr>
              <w:jc w:val="both"/>
              <w:rPr>
                <w:rFonts w:ascii="Arial Narrow" w:eastAsia="Arial Nova" w:hAnsi="Arial Narrow" w:cs="Arial Nova"/>
              </w:rPr>
            </w:pPr>
          </w:p>
          <w:p w14:paraId="35AC8C1F" w14:textId="77777777" w:rsidR="008D47E0" w:rsidRPr="00BF0387" w:rsidRDefault="008D47E0" w:rsidP="00E861A1">
            <w:pPr>
              <w:jc w:val="both"/>
              <w:rPr>
                <w:rFonts w:ascii="Arial Narrow" w:eastAsia="Arial Nova" w:hAnsi="Arial Narrow" w:cs="Arial Nova"/>
              </w:rPr>
            </w:pPr>
          </w:p>
          <w:p w14:paraId="763A52D6" w14:textId="77777777" w:rsidR="00DC6C3E" w:rsidRPr="00BF0387" w:rsidRDefault="00DC6C3E" w:rsidP="001D02FD">
            <w:pPr>
              <w:jc w:val="both"/>
              <w:rPr>
                <w:rFonts w:ascii="Arial Narrow" w:eastAsia="Arial Nova" w:hAnsi="Arial Narrow" w:cs="Arial Nova"/>
              </w:rPr>
            </w:pPr>
          </w:p>
          <w:p w14:paraId="01F0A7AB" w14:textId="4AEB3DB7" w:rsidR="007B227B" w:rsidRPr="00BF0387" w:rsidRDefault="00804D2F" w:rsidP="001D02FD">
            <w:pPr>
              <w:jc w:val="both"/>
              <w:rPr>
                <w:rFonts w:ascii="Arial Narrow" w:eastAsia="Arial Nova" w:hAnsi="Arial Narrow" w:cs="Arial Nova"/>
              </w:rPr>
            </w:pPr>
            <w:r w:rsidRPr="00BF0387">
              <w:rPr>
                <w:rFonts w:ascii="Arial Narrow" w:eastAsia="Arial Nova" w:hAnsi="Arial Narrow" w:cs="Arial Nova"/>
              </w:rPr>
              <w:t xml:space="preserve"> </w:t>
            </w:r>
          </w:p>
          <w:p w14:paraId="31482C8A" w14:textId="77777777" w:rsidR="00E32B05" w:rsidRPr="00BF0387" w:rsidRDefault="00E32B05" w:rsidP="001D02FD">
            <w:pPr>
              <w:jc w:val="both"/>
              <w:rPr>
                <w:rFonts w:ascii="Arial Narrow" w:eastAsia="Arial Nova" w:hAnsi="Arial Narrow" w:cs="Arial Nova"/>
              </w:rPr>
            </w:pPr>
          </w:p>
          <w:p w14:paraId="3C1B3881" w14:textId="77777777" w:rsidR="00E32B05" w:rsidRPr="00BF0387" w:rsidRDefault="00E32B05" w:rsidP="001D02FD">
            <w:pPr>
              <w:jc w:val="both"/>
              <w:rPr>
                <w:rFonts w:ascii="Arial Narrow" w:eastAsia="Arial Nova" w:hAnsi="Arial Narrow" w:cs="Arial Nova"/>
              </w:rPr>
            </w:pPr>
          </w:p>
          <w:p w14:paraId="1EAB312E" w14:textId="60218AE0" w:rsidR="00AC0FBE" w:rsidRPr="00BF0387" w:rsidRDefault="00AC0FBE" w:rsidP="001D02FD">
            <w:pPr>
              <w:jc w:val="both"/>
              <w:rPr>
                <w:rFonts w:ascii="Arial Narrow" w:eastAsia="Arial Nova" w:hAnsi="Arial Narrow" w:cs="Arial Nova"/>
              </w:rPr>
            </w:pPr>
            <w:r w:rsidRPr="00BF0387">
              <w:rPr>
                <w:rFonts w:ascii="Arial Narrow" w:eastAsia="Arial Nova" w:hAnsi="Arial Narrow" w:cs="Arial Nova"/>
              </w:rPr>
              <w:t>.</w:t>
            </w:r>
          </w:p>
          <w:p w14:paraId="3F33F2DA" w14:textId="77777777" w:rsidR="00A96B09" w:rsidRPr="00BF0387" w:rsidRDefault="00A96B09" w:rsidP="001D02FD">
            <w:pPr>
              <w:jc w:val="both"/>
              <w:rPr>
                <w:rFonts w:ascii="Arial Narrow" w:eastAsia="Arial Nova" w:hAnsi="Arial Narrow" w:cs="Arial Nova"/>
              </w:rPr>
            </w:pPr>
          </w:p>
          <w:p w14:paraId="1CE21998" w14:textId="77777777" w:rsidR="00A96B09" w:rsidRPr="00BF0387" w:rsidRDefault="00A96B09" w:rsidP="001D02FD">
            <w:pPr>
              <w:jc w:val="both"/>
              <w:rPr>
                <w:rFonts w:ascii="Arial Narrow" w:eastAsia="Arial Nova" w:hAnsi="Arial Narrow" w:cs="Arial Nova"/>
              </w:rPr>
            </w:pPr>
          </w:p>
          <w:p w14:paraId="2DAE93DC" w14:textId="77777777" w:rsidR="00705A0C" w:rsidRPr="00BF0387" w:rsidRDefault="00705A0C" w:rsidP="001D02FD">
            <w:pPr>
              <w:jc w:val="both"/>
              <w:rPr>
                <w:rFonts w:ascii="Arial Narrow" w:eastAsia="Arial Nova" w:hAnsi="Arial Narrow" w:cs="Arial Nova"/>
              </w:rPr>
            </w:pPr>
          </w:p>
          <w:p w14:paraId="6085A406" w14:textId="77777777" w:rsidR="001779C1" w:rsidRPr="00BF0387" w:rsidRDefault="001779C1" w:rsidP="001D02FD">
            <w:pPr>
              <w:jc w:val="both"/>
              <w:rPr>
                <w:rFonts w:ascii="Arial Narrow" w:eastAsia="Arial Nova" w:hAnsi="Arial Narrow" w:cs="Arial Nova"/>
              </w:rPr>
            </w:pPr>
          </w:p>
          <w:p w14:paraId="33C01335" w14:textId="77777777" w:rsidR="001779C1" w:rsidRPr="00BF0387" w:rsidRDefault="001779C1" w:rsidP="001D02FD">
            <w:pPr>
              <w:jc w:val="both"/>
              <w:rPr>
                <w:rFonts w:ascii="Arial Narrow" w:eastAsia="Arial Nova" w:hAnsi="Arial Narrow" w:cs="Arial Nova"/>
              </w:rPr>
            </w:pPr>
          </w:p>
          <w:p w14:paraId="1032600D" w14:textId="718ED3E0" w:rsidR="001D02FD" w:rsidRPr="00BF0387" w:rsidRDefault="001D02FD" w:rsidP="00E423B8">
            <w:pPr>
              <w:jc w:val="both"/>
              <w:rPr>
                <w:rFonts w:ascii="Arial Narrow" w:eastAsia="Arial Nova" w:hAnsi="Arial Narrow" w:cs="Arial Nova"/>
              </w:rPr>
            </w:pPr>
          </w:p>
          <w:p w14:paraId="5D0BBBB3" w14:textId="77777777" w:rsidR="00E423B8" w:rsidRPr="00BF0387" w:rsidRDefault="00E423B8" w:rsidP="00E423B8">
            <w:pPr>
              <w:jc w:val="both"/>
              <w:rPr>
                <w:rFonts w:ascii="Arial Narrow" w:eastAsia="Arial Nova" w:hAnsi="Arial Narrow" w:cs="Arial Nova"/>
              </w:rPr>
            </w:pPr>
          </w:p>
          <w:p w14:paraId="10FE6119" w14:textId="64385912" w:rsidR="00E423B8" w:rsidRPr="00BF0387" w:rsidRDefault="00E423B8" w:rsidP="00B34454">
            <w:pPr>
              <w:jc w:val="both"/>
              <w:rPr>
                <w:rFonts w:ascii="Arial Narrow" w:eastAsia="Arial Nova" w:hAnsi="Arial Narrow" w:cs="Arial Nova"/>
              </w:rPr>
            </w:pPr>
          </w:p>
          <w:p w14:paraId="78ED53A9" w14:textId="77777777" w:rsidR="00E423B8" w:rsidRPr="00BF0387" w:rsidRDefault="00E423B8" w:rsidP="00B34454">
            <w:pPr>
              <w:jc w:val="both"/>
              <w:rPr>
                <w:rFonts w:ascii="Arial Narrow" w:eastAsia="Arial Nova" w:hAnsi="Arial Narrow" w:cs="Arial Nova"/>
              </w:rPr>
            </w:pPr>
          </w:p>
          <w:p w14:paraId="2FAC7F08" w14:textId="77777777" w:rsidR="00E54758" w:rsidRPr="00BF0387" w:rsidRDefault="00E54758" w:rsidP="00B34454">
            <w:pPr>
              <w:jc w:val="both"/>
              <w:rPr>
                <w:rFonts w:ascii="Arial Narrow" w:eastAsia="Arial Nova" w:hAnsi="Arial Narrow" w:cs="Arial Nova"/>
              </w:rPr>
            </w:pPr>
          </w:p>
          <w:p w14:paraId="51A6A6DD" w14:textId="77777777" w:rsidR="0097632E" w:rsidRPr="00BF0387" w:rsidRDefault="0097632E" w:rsidP="00B34454">
            <w:pPr>
              <w:jc w:val="both"/>
              <w:rPr>
                <w:rFonts w:ascii="Arial Narrow" w:eastAsia="Arial Nova" w:hAnsi="Arial Narrow" w:cs="Arial Nova"/>
              </w:rPr>
            </w:pPr>
          </w:p>
          <w:p w14:paraId="705EA5DC" w14:textId="77777777" w:rsidR="00394CC7" w:rsidRPr="00BF0387" w:rsidRDefault="00394CC7" w:rsidP="00B34454">
            <w:pPr>
              <w:jc w:val="both"/>
              <w:rPr>
                <w:rFonts w:ascii="Arial Narrow" w:hAnsi="Arial Narrow" w:cs="Arial"/>
              </w:rPr>
            </w:pPr>
          </w:p>
          <w:p w14:paraId="25A41046" w14:textId="7B20C9AE" w:rsidR="00DF3C72" w:rsidRPr="00BF0387" w:rsidRDefault="00DF3C72" w:rsidP="00F36C60">
            <w:pPr>
              <w:rPr>
                <w:rFonts w:ascii="Arial" w:hAnsi="Arial" w:cs="Arial"/>
              </w:rPr>
            </w:pPr>
          </w:p>
        </w:tc>
      </w:tr>
    </w:tbl>
    <w:p w14:paraId="045373D1" w14:textId="77777777" w:rsidR="004F527C" w:rsidRDefault="004F527C" w:rsidP="0094239A">
      <w:pPr>
        <w:pStyle w:val="Sinespaciado"/>
      </w:pPr>
    </w:p>
    <w:tbl>
      <w:tblPr>
        <w:tblStyle w:val="Tablaconcuadrcula"/>
        <w:tblW w:w="5934" w:type="pct"/>
        <w:tblInd w:w="-856" w:type="dxa"/>
        <w:tblLayout w:type="fixed"/>
        <w:tblLook w:val="04A0" w:firstRow="1" w:lastRow="0" w:firstColumn="1" w:lastColumn="0" w:noHBand="0" w:noVBand="1"/>
      </w:tblPr>
      <w:tblGrid>
        <w:gridCol w:w="2123"/>
        <w:gridCol w:w="1718"/>
        <w:gridCol w:w="1827"/>
        <w:gridCol w:w="1559"/>
        <w:gridCol w:w="1559"/>
        <w:gridCol w:w="1691"/>
      </w:tblGrid>
      <w:tr w:rsidR="0094239A" w:rsidRPr="00D66135" w14:paraId="4F2235A9" w14:textId="77777777" w:rsidTr="003C4178">
        <w:trPr>
          <w:trHeight w:val="435"/>
        </w:trPr>
        <w:tc>
          <w:tcPr>
            <w:tcW w:w="5000" w:type="pct"/>
            <w:gridSpan w:val="6"/>
            <w:shd w:val="clear" w:color="auto" w:fill="D9D9D9" w:themeFill="background1" w:themeFillShade="D9"/>
            <w:vAlign w:val="center"/>
          </w:tcPr>
          <w:p w14:paraId="108EBE2B" w14:textId="77777777" w:rsidR="0094239A" w:rsidRPr="00D66135" w:rsidRDefault="0094239A" w:rsidP="0094239A">
            <w:pPr>
              <w:jc w:val="center"/>
              <w:rPr>
                <w:rFonts w:ascii="Arial" w:hAnsi="Arial" w:cs="Arial"/>
                <w:sz w:val="20"/>
                <w:szCs w:val="20"/>
              </w:rPr>
            </w:pPr>
            <w:r w:rsidRPr="00D66135">
              <w:rPr>
                <w:rFonts w:ascii="Arial" w:eastAsia="Times New Roman" w:hAnsi="Arial" w:cs="Arial"/>
                <w:b/>
                <w:bCs/>
                <w:color w:val="000000"/>
                <w:sz w:val="20"/>
                <w:szCs w:val="20"/>
                <w:lang w:eastAsia="es-CO"/>
              </w:rPr>
              <w:t>COMPROMISOS</w:t>
            </w:r>
          </w:p>
        </w:tc>
      </w:tr>
      <w:tr w:rsidR="0094239A" w:rsidRPr="00D66135" w14:paraId="556E5A5A" w14:textId="77777777" w:rsidTr="003C4178">
        <w:tc>
          <w:tcPr>
            <w:tcW w:w="1013" w:type="pct"/>
            <w:vAlign w:val="center"/>
          </w:tcPr>
          <w:p w14:paraId="6E717D84" w14:textId="77777777" w:rsidR="0094239A" w:rsidRPr="00D66135" w:rsidRDefault="0094239A" w:rsidP="0094239A">
            <w:pPr>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TEMA TRATADO</w:t>
            </w:r>
          </w:p>
        </w:tc>
        <w:tc>
          <w:tcPr>
            <w:tcW w:w="820" w:type="pct"/>
            <w:vAlign w:val="center"/>
          </w:tcPr>
          <w:p w14:paraId="12E92B17" w14:textId="77777777" w:rsidR="0094239A" w:rsidRPr="00D66135" w:rsidRDefault="0094239A" w:rsidP="0094239A">
            <w:pPr>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ACTIVIDAD</w:t>
            </w:r>
          </w:p>
        </w:tc>
        <w:tc>
          <w:tcPr>
            <w:tcW w:w="872" w:type="pct"/>
            <w:vAlign w:val="center"/>
          </w:tcPr>
          <w:p w14:paraId="1626C7D5" w14:textId="77777777" w:rsidR="0094239A" w:rsidRPr="00D66135" w:rsidRDefault="0094239A" w:rsidP="0094239A">
            <w:pPr>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RESPONSABLE</w:t>
            </w:r>
          </w:p>
        </w:tc>
        <w:tc>
          <w:tcPr>
            <w:tcW w:w="744" w:type="pct"/>
            <w:vAlign w:val="center"/>
          </w:tcPr>
          <w:p w14:paraId="68CCEBE0" w14:textId="77777777" w:rsidR="0094239A" w:rsidRPr="00D66135" w:rsidRDefault="0094239A" w:rsidP="0094239A">
            <w:pPr>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CARGO</w:t>
            </w:r>
          </w:p>
        </w:tc>
        <w:tc>
          <w:tcPr>
            <w:tcW w:w="744" w:type="pct"/>
            <w:vAlign w:val="center"/>
          </w:tcPr>
          <w:p w14:paraId="1881E4BE" w14:textId="77777777" w:rsidR="0094239A" w:rsidRPr="00D66135" w:rsidRDefault="0094239A" w:rsidP="0094239A">
            <w:pPr>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FECHA EJECUCIÓN</w:t>
            </w:r>
          </w:p>
        </w:tc>
        <w:tc>
          <w:tcPr>
            <w:tcW w:w="807" w:type="pct"/>
            <w:vAlign w:val="center"/>
          </w:tcPr>
          <w:p w14:paraId="4A3103DF" w14:textId="77777777" w:rsidR="0094239A" w:rsidRPr="00D66135" w:rsidRDefault="0094239A" w:rsidP="0094239A">
            <w:pPr>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SEGUIMIENTO</w:t>
            </w:r>
          </w:p>
        </w:tc>
      </w:tr>
      <w:tr w:rsidR="0094239A" w:rsidRPr="00D66135" w14:paraId="641C79D3" w14:textId="77777777" w:rsidTr="003C4178">
        <w:trPr>
          <w:trHeight w:val="567"/>
        </w:trPr>
        <w:tc>
          <w:tcPr>
            <w:tcW w:w="1013" w:type="pct"/>
            <w:vAlign w:val="center"/>
          </w:tcPr>
          <w:p w14:paraId="058D0E75" w14:textId="77777777" w:rsidR="0094239A" w:rsidRPr="00D66135" w:rsidRDefault="0094239A" w:rsidP="0094239A">
            <w:pPr>
              <w:rPr>
                <w:rFonts w:ascii="Arial" w:hAnsi="Arial" w:cs="Arial"/>
                <w:sz w:val="20"/>
                <w:szCs w:val="20"/>
              </w:rPr>
            </w:pPr>
          </w:p>
        </w:tc>
        <w:tc>
          <w:tcPr>
            <w:tcW w:w="820" w:type="pct"/>
            <w:vAlign w:val="center"/>
          </w:tcPr>
          <w:p w14:paraId="0F70573A" w14:textId="77777777" w:rsidR="0094239A" w:rsidRPr="00D66135" w:rsidRDefault="0094239A" w:rsidP="0094239A">
            <w:pPr>
              <w:rPr>
                <w:rFonts w:ascii="Arial" w:hAnsi="Arial" w:cs="Arial"/>
                <w:sz w:val="20"/>
                <w:szCs w:val="20"/>
              </w:rPr>
            </w:pPr>
          </w:p>
        </w:tc>
        <w:tc>
          <w:tcPr>
            <w:tcW w:w="872" w:type="pct"/>
            <w:vAlign w:val="center"/>
          </w:tcPr>
          <w:p w14:paraId="63CF12CD" w14:textId="77777777" w:rsidR="0094239A" w:rsidRPr="00D66135" w:rsidRDefault="0094239A" w:rsidP="0094239A">
            <w:pPr>
              <w:rPr>
                <w:rFonts w:ascii="Arial" w:hAnsi="Arial" w:cs="Arial"/>
                <w:sz w:val="20"/>
                <w:szCs w:val="20"/>
              </w:rPr>
            </w:pPr>
          </w:p>
        </w:tc>
        <w:tc>
          <w:tcPr>
            <w:tcW w:w="744" w:type="pct"/>
            <w:vAlign w:val="center"/>
          </w:tcPr>
          <w:p w14:paraId="1A112E4C" w14:textId="77777777" w:rsidR="0094239A" w:rsidRPr="00D66135" w:rsidRDefault="0094239A" w:rsidP="0094239A">
            <w:pPr>
              <w:rPr>
                <w:rFonts w:ascii="Arial" w:hAnsi="Arial" w:cs="Arial"/>
                <w:sz w:val="20"/>
                <w:szCs w:val="20"/>
              </w:rPr>
            </w:pPr>
          </w:p>
        </w:tc>
        <w:tc>
          <w:tcPr>
            <w:tcW w:w="744" w:type="pct"/>
            <w:vAlign w:val="center"/>
          </w:tcPr>
          <w:p w14:paraId="2029DBB3" w14:textId="77777777" w:rsidR="0094239A" w:rsidRPr="00D66135" w:rsidRDefault="0094239A" w:rsidP="0094239A">
            <w:pPr>
              <w:rPr>
                <w:rFonts w:ascii="Arial" w:hAnsi="Arial" w:cs="Arial"/>
                <w:sz w:val="20"/>
                <w:szCs w:val="20"/>
              </w:rPr>
            </w:pPr>
          </w:p>
        </w:tc>
        <w:tc>
          <w:tcPr>
            <w:tcW w:w="807" w:type="pct"/>
            <w:vAlign w:val="center"/>
          </w:tcPr>
          <w:p w14:paraId="00DE1D73" w14:textId="77777777" w:rsidR="0094239A" w:rsidRPr="00D66135" w:rsidRDefault="0094239A" w:rsidP="0094239A">
            <w:pPr>
              <w:rPr>
                <w:rFonts w:ascii="Arial" w:hAnsi="Arial" w:cs="Arial"/>
                <w:sz w:val="20"/>
                <w:szCs w:val="20"/>
              </w:rPr>
            </w:pPr>
          </w:p>
        </w:tc>
      </w:tr>
      <w:tr w:rsidR="0094239A" w:rsidRPr="00D66135" w14:paraId="4528501B" w14:textId="77777777" w:rsidTr="003C4178">
        <w:trPr>
          <w:trHeight w:val="567"/>
        </w:trPr>
        <w:tc>
          <w:tcPr>
            <w:tcW w:w="1013" w:type="pct"/>
            <w:vAlign w:val="center"/>
          </w:tcPr>
          <w:p w14:paraId="337A8492" w14:textId="77777777" w:rsidR="0094239A" w:rsidRPr="00D66135" w:rsidRDefault="0094239A" w:rsidP="0094239A">
            <w:pPr>
              <w:rPr>
                <w:rFonts w:ascii="Arial" w:hAnsi="Arial" w:cs="Arial"/>
                <w:sz w:val="20"/>
                <w:szCs w:val="20"/>
              </w:rPr>
            </w:pPr>
          </w:p>
        </w:tc>
        <w:tc>
          <w:tcPr>
            <w:tcW w:w="820" w:type="pct"/>
            <w:vAlign w:val="center"/>
          </w:tcPr>
          <w:p w14:paraId="7E3CB013" w14:textId="77777777" w:rsidR="0094239A" w:rsidRPr="00D66135" w:rsidRDefault="0094239A" w:rsidP="0094239A">
            <w:pPr>
              <w:rPr>
                <w:rFonts w:ascii="Arial" w:hAnsi="Arial" w:cs="Arial"/>
                <w:sz w:val="20"/>
                <w:szCs w:val="20"/>
              </w:rPr>
            </w:pPr>
          </w:p>
        </w:tc>
        <w:tc>
          <w:tcPr>
            <w:tcW w:w="872" w:type="pct"/>
            <w:vAlign w:val="center"/>
          </w:tcPr>
          <w:p w14:paraId="793BBD56" w14:textId="77777777" w:rsidR="0094239A" w:rsidRPr="00D66135" w:rsidRDefault="0094239A" w:rsidP="0094239A">
            <w:pPr>
              <w:rPr>
                <w:rFonts w:ascii="Arial" w:hAnsi="Arial" w:cs="Arial"/>
                <w:sz w:val="20"/>
                <w:szCs w:val="20"/>
              </w:rPr>
            </w:pPr>
          </w:p>
        </w:tc>
        <w:tc>
          <w:tcPr>
            <w:tcW w:w="744" w:type="pct"/>
            <w:vAlign w:val="center"/>
          </w:tcPr>
          <w:p w14:paraId="03DB96F0" w14:textId="77777777" w:rsidR="0094239A" w:rsidRPr="00D66135" w:rsidRDefault="0094239A" w:rsidP="0094239A">
            <w:pPr>
              <w:rPr>
                <w:rFonts w:ascii="Arial" w:hAnsi="Arial" w:cs="Arial"/>
                <w:sz w:val="20"/>
                <w:szCs w:val="20"/>
              </w:rPr>
            </w:pPr>
          </w:p>
        </w:tc>
        <w:tc>
          <w:tcPr>
            <w:tcW w:w="744" w:type="pct"/>
            <w:vAlign w:val="center"/>
          </w:tcPr>
          <w:p w14:paraId="1A3A310F" w14:textId="77777777" w:rsidR="0094239A" w:rsidRPr="00D66135" w:rsidRDefault="0094239A" w:rsidP="0094239A">
            <w:pPr>
              <w:rPr>
                <w:rFonts w:ascii="Arial" w:hAnsi="Arial" w:cs="Arial"/>
                <w:sz w:val="20"/>
                <w:szCs w:val="20"/>
              </w:rPr>
            </w:pPr>
          </w:p>
        </w:tc>
        <w:tc>
          <w:tcPr>
            <w:tcW w:w="807" w:type="pct"/>
            <w:vAlign w:val="center"/>
          </w:tcPr>
          <w:p w14:paraId="4578C4F2" w14:textId="77777777" w:rsidR="0094239A" w:rsidRPr="00D66135" w:rsidRDefault="0094239A" w:rsidP="0094239A">
            <w:pPr>
              <w:rPr>
                <w:rFonts w:ascii="Arial" w:hAnsi="Arial" w:cs="Arial"/>
                <w:sz w:val="20"/>
                <w:szCs w:val="20"/>
              </w:rPr>
            </w:pPr>
          </w:p>
        </w:tc>
      </w:tr>
      <w:tr w:rsidR="0094239A" w:rsidRPr="00D66135" w14:paraId="4DA094EE" w14:textId="77777777" w:rsidTr="003C4178">
        <w:trPr>
          <w:trHeight w:val="567"/>
        </w:trPr>
        <w:tc>
          <w:tcPr>
            <w:tcW w:w="1013" w:type="pct"/>
            <w:vAlign w:val="center"/>
          </w:tcPr>
          <w:p w14:paraId="3695EDA2" w14:textId="77777777" w:rsidR="0094239A" w:rsidRPr="00D66135" w:rsidRDefault="0094239A" w:rsidP="0094239A">
            <w:pPr>
              <w:rPr>
                <w:rFonts w:ascii="Arial" w:hAnsi="Arial" w:cs="Arial"/>
                <w:sz w:val="20"/>
                <w:szCs w:val="20"/>
              </w:rPr>
            </w:pPr>
          </w:p>
        </w:tc>
        <w:tc>
          <w:tcPr>
            <w:tcW w:w="820" w:type="pct"/>
            <w:vAlign w:val="center"/>
          </w:tcPr>
          <w:p w14:paraId="30CA20D1" w14:textId="77777777" w:rsidR="0094239A" w:rsidRPr="00D66135" w:rsidRDefault="0094239A" w:rsidP="0094239A">
            <w:pPr>
              <w:rPr>
                <w:rFonts w:ascii="Arial" w:hAnsi="Arial" w:cs="Arial"/>
                <w:sz w:val="20"/>
                <w:szCs w:val="20"/>
              </w:rPr>
            </w:pPr>
          </w:p>
        </w:tc>
        <w:tc>
          <w:tcPr>
            <w:tcW w:w="872" w:type="pct"/>
            <w:vAlign w:val="center"/>
          </w:tcPr>
          <w:p w14:paraId="5559B7E8" w14:textId="77777777" w:rsidR="0094239A" w:rsidRPr="00D66135" w:rsidRDefault="0094239A" w:rsidP="0094239A">
            <w:pPr>
              <w:rPr>
                <w:rFonts w:ascii="Arial" w:hAnsi="Arial" w:cs="Arial"/>
                <w:sz w:val="20"/>
                <w:szCs w:val="20"/>
              </w:rPr>
            </w:pPr>
          </w:p>
        </w:tc>
        <w:tc>
          <w:tcPr>
            <w:tcW w:w="744" w:type="pct"/>
            <w:vAlign w:val="center"/>
          </w:tcPr>
          <w:p w14:paraId="6DF13225" w14:textId="77777777" w:rsidR="0094239A" w:rsidRPr="00D66135" w:rsidRDefault="0094239A" w:rsidP="0094239A">
            <w:pPr>
              <w:rPr>
                <w:rFonts w:ascii="Arial" w:hAnsi="Arial" w:cs="Arial"/>
                <w:sz w:val="20"/>
                <w:szCs w:val="20"/>
              </w:rPr>
            </w:pPr>
          </w:p>
        </w:tc>
        <w:tc>
          <w:tcPr>
            <w:tcW w:w="744" w:type="pct"/>
            <w:vAlign w:val="center"/>
          </w:tcPr>
          <w:p w14:paraId="591DA0BD" w14:textId="77777777" w:rsidR="0094239A" w:rsidRPr="00D66135" w:rsidRDefault="0094239A" w:rsidP="0094239A">
            <w:pPr>
              <w:rPr>
                <w:rFonts w:ascii="Arial" w:hAnsi="Arial" w:cs="Arial"/>
                <w:sz w:val="20"/>
                <w:szCs w:val="20"/>
              </w:rPr>
            </w:pPr>
          </w:p>
        </w:tc>
        <w:tc>
          <w:tcPr>
            <w:tcW w:w="807" w:type="pct"/>
            <w:vAlign w:val="center"/>
          </w:tcPr>
          <w:p w14:paraId="60AC50B2" w14:textId="77777777" w:rsidR="0094239A" w:rsidRPr="00D66135" w:rsidRDefault="0094239A" w:rsidP="0094239A">
            <w:pPr>
              <w:rPr>
                <w:rFonts w:ascii="Arial" w:hAnsi="Arial" w:cs="Arial"/>
                <w:sz w:val="20"/>
                <w:szCs w:val="20"/>
              </w:rPr>
            </w:pPr>
          </w:p>
        </w:tc>
      </w:tr>
      <w:tr w:rsidR="0094239A" w:rsidRPr="00D66135" w14:paraId="07C5259B" w14:textId="77777777" w:rsidTr="003C4178">
        <w:trPr>
          <w:trHeight w:val="567"/>
        </w:trPr>
        <w:tc>
          <w:tcPr>
            <w:tcW w:w="1013" w:type="pct"/>
            <w:vAlign w:val="center"/>
          </w:tcPr>
          <w:p w14:paraId="247E4741" w14:textId="77777777" w:rsidR="0094239A" w:rsidRPr="00D66135" w:rsidRDefault="0094239A" w:rsidP="0094239A">
            <w:pPr>
              <w:rPr>
                <w:rFonts w:ascii="Arial" w:hAnsi="Arial" w:cs="Arial"/>
                <w:sz w:val="20"/>
                <w:szCs w:val="20"/>
              </w:rPr>
            </w:pPr>
          </w:p>
        </w:tc>
        <w:tc>
          <w:tcPr>
            <w:tcW w:w="820" w:type="pct"/>
            <w:vAlign w:val="center"/>
          </w:tcPr>
          <w:p w14:paraId="1B804575" w14:textId="77777777" w:rsidR="0094239A" w:rsidRPr="00D66135" w:rsidRDefault="0094239A" w:rsidP="0094239A">
            <w:pPr>
              <w:rPr>
                <w:rFonts w:ascii="Arial" w:hAnsi="Arial" w:cs="Arial"/>
                <w:sz w:val="20"/>
                <w:szCs w:val="20"/>
              </w:rPr>
            </w:pPr>
          </w:p>
        </w:tc>
        <w:tc>
          <w:tcPr>
            <w:tcW w:w="872" w:type="pct"/>
            <w:vAlign w:val="center"/>
          </w:tcPr>
          <w:p w14:paraId="22F55FDD" w14:textId="77777777" w:rsidR="0094239A" w:rsidRPr="00D66135" w:rsidRDefault="0094239A" w:rsidP="0094239A">
            <w:pPr>
              <w:rPr>
                <w:rFonts w:ascii="Arial" w:hAnsi="Arial" w:cs="Arial"/>
                <w:sz w:val="20"/>
                <w:szCs w:val="20"/>
              </w:rPr>
            </w:pPr>
          </w:p>
        </w:tc>
        <w:tc>
          <w:tcPr>
            <w:tcW w:w="744" w:type="pct"/>
            <w:vAlign w:val="center"/>
          </w:tcPr>
          <w:p w14:paraId="3A6B6A44" w14:textId="77777777" w:rsidR="0094239A" w:rsidRPr="00D66135" w:rsidRDefault="0094239A" w:rsidP="0094239A">
            <w:pPr>
              <w:rPr>
                <w:rFonts w:ascii="Arial" w:hAnsi="Arial" w:cs="Arial"/>
                <w:sz w:val="20"/>
                <w:szCs w:val="20"/>
              </w:rPr>
            </w:pPr>
          </w:p>
        </w:tc>
        <w:tc>
          <w:tcPr>
            <w:tcW w:w="744" w:type="pct"/>
            <w:vAlign w:val="center"/>
          </w:tcPr>
          <w:p w14:paraId="45D88965" w14:textId="77777777" w:rsidR="0094239A" w:rsidRPr="00D66135" w:rsidRDefault="0094239A" w:rsidP="0094239A">
            <w:pPr>
              <w:rPr>
                <w:rFonts w:ascii="Arial" w:hAnsi="Arial" w:cs="Arial"/>
                <w:sz w:val="20"/>
                <w:szCs w:val="20"/>
              </w:rPr>
            </w:pPr>
          </w:p>
        </w:tc>
        <w:tc>
          <w:tcPr>
            <w:tcW w:w="807" w:type="pct"/>
            <w:vAlign w:val="center"/>
          </w:tcPr>
          <w:p w14:paraId="1F1BC79A" w14:textId="77777777" w:rsidR="0094239A" w:rsidRPr="00D66135" w:rsidRDefault="0094239A" w:rsidP="0094239A">
            <w:pPr>
              <w:rPr>
                <w:rFonts w:ascii="Arial" w:hAnsi="Arial" w:cs="Arial"/>
                <w:sz w:val="20"/>
                <w:szCs w:val="20"/>
              </w:rPr>
            </w:pPr>
          </w:p>
        </w:tc>
      </w:tr>
      <w:tr w:rsidR="0094239A" w:rsidRPr="00D66135" w14:paraId="4DBD5A78" w14:textId="77777777" w:rsidTr="003C4178">
        <w:trPr>
          <w:trHeight w:val="567"/>
        </w:trPr>
        <w:tc>
          <w:tcPr>
            <w:tcW w:w="1013" w:type="pct"/>
            <w:vAlign w:val="center"/>
          </w:tcPr>
          <w:p w14:paraId="314069CD" w14:textId="77777777" w:rsidR="0094239A" w:rsidRPr="00D66135" w:rsidRDefault="0094239A" w:rsidP="0094239A">
            <w:pPr>
              <w:rPr>
                <w:rFonts w:ascii="Arial" w:hAnsi="Arial" w:cs="Arial"/>
                <w:sz w:val="20"/>
                <w:szCs w:val="20"/>
              </w:rPr>
            </w:pPr>
          </w:p>
        </w:tc>
        <w:tc>
          <w:tcPr>
            <w:tcW w:w="820" w:type="pct"/>
            <w:vAlign w:val="center"/>
          </w:tcPr>
          <w:p w14:paraId="0F27A3AF" w14:textId="77777777" w:rsidR="0094239A" w:rsidRPr="00D66135" w:rsidRDefault="0094239A" w:rsidP="0094239A">
            <w:pPr>
              <w:rPr>
                <w:rFonts w:ascii="Arial" w:hAnsi="Arial" w:cs="Arial"/>
                <w:sz w:val="20"/>
                <w:szCs w:val="20"/>
              </w:rPr>
            </w:pPr>
          </w:p>
        </w:tc>
        <w:tc>
          <w:tcPr>
            <w:tcW w:w="872" w:type="pct"/>
            <w:vAlign w:val="center"/>
          </w:tcPr>
          <w:p w14:paraId="7EBF2B9D" w14:textId="77777777" w:rsidR="0094239A" w:rsidRPr="00D66135" w:rsidRDefault="0094239A" w:rsidP="0094239A">
            <w:pPr>
              <w:rPr>
                <w:rFonts w:ascii="Arial" w:hAnsi="Arial" w:cs="Arial"/>
                <w:sz w:val="20"/>
                <w:szCs w:val="20"/>
              </w:rPr>
            </w:pPr>
          </w:p>
        </w:tc>
        <w:tc>
          <w:tcPr>
            <w:tcW w:w="744" w:type="pct"/>
            <w:vAlign w:val="center"/>
          </w:tcPr>
          <w:p w14:paraId="06F92B56" w14:textId="77777777" w:rsidR="0094239A" w:rsidRPr="00D66135" w:rsidRDefault="0094239A" w:rsidP="0094239A">
            <w:pPr>
              <w:rPr>
                <w:rFonts w:ascii="Arial" w:hAnsi="Arial" w:cs="Arial"/>
                <w:sz w:val="20"/>
                <w:szCs w:val="20"/>
              </w:rPr>
            </w:pPr>
          </w:p>
        </w:tc>
        <w:tc>
          <w:tcPr>
            <w:tcW w:w="744" w:type="pct"/>
            <w:vAlign w:val="center"/>
          </w:tcPr>
          <w:p w14:paraId="20003B1D" w14:textId="77777777" w:rsidR="0094239A" w:rsidRPr="00D66135" w:rsidRDefault="0094239A" w:rsidP="0094239A">
            <w:pPr>
              <w:rPr>
                <w:rFonts w:ascii="Arial" w:hAnsi="Arial" w:cs="Arial"/>
                <w:sz w:val="20"/>
                <w:szCs w:val="20"/>
              </w:rPr>
            </w:pPr>
          </w:p>
        </w:tc>
        <w:tc>
          <w:tcPr>
            <w:tcW w:w="807" w:type="pct"/>
            <w:vAlign w:val="center"/>
          </w:tcPr>
          <w:p w14:paraId="43E89C34" w14:textId="77777777" w:rsidR="0094239A" w:rsidRPr="00D66135" w:rsidRDefault="0094239A" w:rsidP="0094239A">
            <w:pPr>
              <w:rPr>
                <w:rFonts w:ascii="Arial" w:hAnsi="Arial" w:cs="Arial"/>
                <w:sz w:val="20"/>
                <w:szCs w:val="20"/>
              </w:rPr>
            </w:pPr>
          </w:p>
        </w:tc>
      </w:tr>
    </w:tbl>
    <w:p w14:paraId="744496CA" w14:textId="77777777" w:rsidR="00F41D00" w:rsidRDefault="00F41D00"/>
    <w:tbl>
      <w:tblPr>
        <w:tblW w:w="5884" w:type="pct"/>
        <w:tblInd w:w="-714" w:type="dxa"/>
        <w:tblLayout w:type="fixed"/>
        <w:tblCellMar>
          <w:left w:w="70" w:type="dxa"/>
          <w:right w:w="70" w:type="dxa"/>
        </w:tblCellMar>
        <w:tblLook w:val="04A0" w:firstRow="1" w:lastRow="0" w:firstColumn="1" w:lastColumn="0" w:noHBand="0" w:noVBand="1"/>
      </w:tblPr>
      <w:tblGrid>
        <w:gridCol w:w="993"/>
        <w:gridCol w:w="3545"/>
        <w:gridCol w:w="2126"/>
        <w:gridCol w:w="1843"/>
        <w:gridCol w:w="1882"/>
      </w:tblGrid>
      <w:tr w:rsidR="0094239A" w:rsidRPr="00D66135" w14:paraId="3CD3A1B0" w14:textId="77777777" w:rsidTr="00B73C3D">
        <w:trPr>
          <w:trHeight w:val="99"/>
        </w:trPr>
        <w:tc>
          <w:tcPr>
            <w:tcW w:w="5000" w:type="pct"/>
            <w:gridSpan w:val="5"/>
            <w:tcBorders>
              <w:top w:val="single" w:sz="4" w:space="0" w:color="auto"/>
              <w:left w:val="single" w:sz="4" w:space="0" w:color="auto"/>
              <w:bottom w:val="single" w:sz="4" w:space="0" w:color="auto"/>
              <w:right w:val="single" w:sz="4" w:space="0" w:color="auto"/>
            </w:tcBorders>
            <w:shd w:val="clear" w:color="E7E6E6" w:fill="E7E6E6"/>
            <w:vAlign w:val="center"/>
            <w:hideMark/>
          </w:tcPr>
          <w:p w14:paraId="0659C47D" w14:textId="77777777" w:rsidR="0094239A" w:rsidRPr="00D66135" w:rsidRDefault="0094239A" w:rsidP="00D57350">
            <w:pPr>
              <w:spacing w:after="0" w:line="240" w:lineRule="auto"/>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ASISTENTES</w:t>
            </w:r>
          </w:p>
        </w:tc>
      </w:tr>
      <w:tr w:rsidR="002C1BEE" w:rsidRPr="00D66135" w14:paraId="63795DF1" w14:textId="77777777" w:rsidTr="00B73C3D">
        <w:trPr>
          <w:trHeight w:val="152"/>
        </w:trPr>
        <w:tc>
          <w:tcPr>
            <w:tcW w:w="478" w:type="pct"/>
            <w:tcBorders>
              <w:top w:val="nil"/>
              <w:left w:val="single" w:sz="4" w:space="0" w:color="000000"/>
              <w:bottom w:val="single" w:sz="4" w:space="0" w:color="000000"/>
              <w:right w:val="single" w:sz="4" w:space="0" w:color="auto"/>
            </w:tcBorders>
            <w:shd w:val="clear" w:color="E7E6E6" w:fill="E7E6E6"/>
            <w:vAlign w:val="center"/>
            <w:hideMark/>
          </w:tcPr>
          <w:p w14:paraId="1DEEB235" w14:textId="77777777" w:rsidR="0094239A" w:rsidRPr="00D66135" w:rsidRDefault="0094239A" w:rsidP="00D57350">
            <w:pPr>
              <w:spacing w:after="0" w:line="240" w:lineRule="auto"/>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N°</w:t>
            </w:r>
          </w:p>
        </w:tc>
        <w:tc>
          <w:tcPr>
            <w:tcW w:w="1706" w:type="pct"/>
            <w:tcBorders>
              <w:top w:val="single" w:sz="4" w:space="0" w:color="auto"/>
              <w:left w:val="single" w:sz="4" w:space="0" w:color="auto"/>
              <w:bottom w:val="single" w:sz="4" w:space="0" w:color="auto"/>
              <w:right w:val="single" w:sz="4" w:space="0" w:color="auto"/>
            </w:tcBorders>
            <w:shd w:val="clear" w:color="E7E6E6" w:fill="E7E6E6"/>
            <w:vAlign w:val="center"/>
            <w:hideMark/>
          </w:tcPr>
          <w:p w14:paraId="693769DA" w14:textId="77777777" w:rsidR="0094239A" w:rsidRPr="00D66135" w:rsidRDefault="0094239A" w:rsidP="00D57350">
            <w:pPr>
              <w:spacing w:after="0" w:line="240" w:lineRule="auto"/>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NOMBRE</w:t>
            </w:r>
          </w:p>
        </w:tc>
        <w:tc>
          <w:tcPr>
            <w:tcW w:w="1023" w:type="pct"/>
            <w:tcBorders>
              <w:top w:val="single" w:sz="4" w:space="0" w:color="auto"/>
              <w:left w:val="single" w:sz="4" w:space="0" w:color="auto"/>
              <w:bottom w:val="single" w:sz="4" w:space="0" w:color="auto"/>
              <w:right w:val="single" w:sz="4" w:space="0" w:color="auto"/>
            </w:tcBorders>
            <w:shd w:val="clear" w:color="E7E6E6" w:fill="E7E6E6"/>
            <w:vAlign w:val="center"/>
            <w:hideMark/>
          </w:tcPr>
          <w:p w14:paraId="0DE4BECB" w14:textId="77777777" w:rsidR="0094239A" w:rsidRPr="00D66135" w:rsidRDefault="0094239A" w:rsidP="00D57350">
            <w:pPr>
              <w:spacing w:after="0" w:line="240" w:lineRule="auto"/>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ÁREA</w:t>
            </w:r>
          </w:p>
        </w:tc>
        <w:tc>
          <w:tcPr>
            <w:tcW w:w="887" w:type="pct"/>
            <w:tcBorders>
              <w:top w:val="single" w:sz="4" w:space="0" w:color="auto"/>
              <w:left w:val="single" w:sz="4" w:space="0" w:color="auto"/>
              <w:bottom w:val="single" w:sz="4" w:space="0" w:color="auto"/>
              <w:right w:val="single" w:sz="4" w:space="0" w:color="auto"/>
            </w:tcBorders>
            <w:shd w:val="clear" w:color="E7E6E6" w:fill="E7E6E6"/>
            <w:vAlign w:val="center"/>
            <w:hideMark/>
          </w:tcPr>
          <w:p w14:paraId="1B78291F" w14:textId="77777777" w:rsidR="0094239A" w:rsidRPr="00D66135" w:rsidRDefault="0094239A" w:rsidP="00D57350">
            <w:pPr>
              <w:spacing w:after="0" w:line="240" w:lineRule="auto"/>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CARGO</w:t>
            </w:r>
          </w:p>
        </w:tc>
        <w:tc>
          <w:tcPr>
            <w:tcW w:w="906" w:type="pct"/>
            <w:tcBorders>
              <w:top w:val="single" w:sz="4" w:space="0" w:color="auto"/>
              <w:left w:val="single" w:sz="4" w:space="0" w:color="auto"/>
              <w:bottom w:val="single" w:sz="4" w:space="0" w:color="auto"/>
              <w:right w:val="single" w:sz="4" w:space="0" w:color="auto"/>
            </w:tcBorders>
            <w:shd w:val="clear" w:color="E7E6E6" w:fill="E7E6E6"/>
            <w:vAlign w:val="center"/>
            <w:hideMark/>
          </w:tcPr>
          <w:p w14:paraId="6BCE46A7" w14:textId="77777777" w:rsidR="0094239A" w:rsidRPr="00D66135" w:rsidRDefault="0094239A" w:rsidP="00D57350">
            <w:pPr>
              <w:spacing w:after="0" w:line="240" w:lineRule="auto"/>
              <w:jc w:val="center"/>
              <w:rPr>
                <w:rFonts w:ascii="Arial" w:eastAsia="Times New Roman" w:hAnsi="Arial" w:cs="Arial"/>
                <w:b/>
                <w:bCs/>
                <w:color w:val="000000"/>
                <w:sz w:val="20"/>
                <w:szCs w:val="20"/>
                <w:lang w:eastAsia="es-CO"/>
              </w:rPr>
            </w:pPr>
            <w:r w:rsidRPr="00D66135">
              <w:rPr>
                <w:rFonts w:ascii="Arial" w:eastAsia="Times New Roman" w:hAnsi="Arial" w:cs="Arial"/>
                <w:b/>
                <w:bCs/>
                <w:color w:val="000000"/>
                <w:sz w:val="20"/>
                <w:szCs w:val="20"/>
                <w:lang w:eastAsia="es-CO"/>
              </w:rPr>
              <w:t>FIRMA</w:t>
            </w:r>
          </w:p>
        </w:tc>
      </w:tr>
      <w:tr w:rsidR="002C1BEE" w:rsidRPr="00D66135" w14:paraId="435C762A"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4215C855"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1</w:t>
            </w:r>
          </w:p>
        </w:tc>
        <w:tc>
          <w:tcPr>
            <w:tcW w:w="1706" w:type="pct"/>
            <w:tcBorders>
              <w:top w:val="single" w:sz="4" w:space="0" w:color="auto"/>
              <w:left w:val="nil"/>
              <w:bottom w:val="single" w:sz="4" w:space="0" w:color="000000"/>
              <w:right w:val="single" w:sz="4" w:space="0" w:color="000000"/>
            </w:tcBorders>
            <w:shd w:val="clear" w:color="FFFFFF" w:fill="FFFFFF"/>
            <w:noWrap/>
            <w:vAlign w:val="center"/>
            <w:hideMark/>
          </w:tcPr>
          <w:p w14:paraId="58B3404A"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6FB647CC"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3EED530C"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3197C99A"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271DF569"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66E7183D"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4D2E0BDD"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2</w:t>
            </w:r>
          </w:p>
        </w:tc>
        <w:tc>
          <w:tcPr>
            <w:tcW w:w="1706" w:type="pct"/>
            <w:tcBorders>
              <w:top w:val="single" w:sz="4" w:space="0" w:color="000000"/>
              <w:left w:val="nil"/>
              <w:bottom w:val="single" w:sz="4" w:space="0" w:color="auto"/>
              <w:right w:val="single" w:sz="4" w:space="0" w:color="000000"/>
            </w:tcBorders>
            <w:shd w:val="clear" w:color="FFFFFF" w:fill="FFFFFF"/>
            <w:noWrap/>
            <w:vAlign w:val="center"/>
            <w:hideMark/>
          </w:tcPr>
          <w:p w14:paraId="7A89F89F"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1A13D5B7"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05FA7AF7"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754C1305"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028296FD"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2AE8D709" w14:textId="77777777" w:rsidTr="00B73C3D">
        <w:trPr>
          <w:trHeight w:val="99"/>
        </w:trPr>
        <w:tc>
          <w:tcPr>
            <w:tcW w:w="478" w:type="pct"/>
            <w:tcBorders>
              <w:top w:val="nil"/>
              <w:left w:val="single" w:sz="4" w:space="0" w:color="000000"/>
              <w:bottom w:val="single" w:sz="4" w:space="0" w:color="000000"/>
              <w:right w:val="single" w:sz="4" w:space="0" w:color="auto"/>
            </w:tcBorders>
            <w:shd w:val="clear" w:color="FFFFFF" w:fill="FFFFFF"/>
            <w:vAlign w:val="center"/>
            <w:hideMark/>
          </w:tcPr>
          <w:p w14:paraId="4A99BC12"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3</w:t>
            </w:r>
          </w:p>
        </w:tc>
        <w:tc>
          <w:tcPr>
            <w:tcW w:w="1706" w:type="pct"/>
            <w:tcBorders>
              <w:top w:val="single" w:sz="4" w:space="0" w:color="auto"/>
              <w:left w:val="single" w:sz="4" w:space="0" w:color="auto"/>
              <w:bottom w:val="single" w:sz="4" w:space="0" w:color="auto"/>
              <w:right w:val="single" w:sz="4" w:space="0" w:color="auto"/>
            </w:tcBorders>
            <w:shd w:val="clear" w:color="FFFFFF" w:fill="FFFFFF"/>
            <w:noWrap/>
            <w:vAlign w:val="center"/>
            <w:hideMark/>
          </w:tcPr>
          <w:p w14:paraId="06D0DC34"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159C6C51"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single" w:sz="4" w:space="0" w:color="auto"/>
              <w:bottom w:val="single" w:sz="4" w:space="0" w:color="000000"/>
              <w:right w:val="single" w:sz="4" w:space="0" w:color="000000"/>
            </w:tcBorders>
            <w:shd w:val="clear" w:color="FFFFFF" w:fill="FFFFFF"/>
            <w:vAlign w:val="center"/>
            <w:hideMark/>
          </w:tcPr>
          <w:p w14:paraId="2CF42676"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2D7437D6"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5E8EE4B5"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4C320F2F"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418E4199"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4</w:t>
            </w:r>
          </w:p>
        </w:tc>
        <w:tc>
          <w:tcPr>
            <w:tcW w:w="1706" w:type="pct"/>
            <w:tcBorders>
              <w:top w:val="single" w:sz="4" w:space="0" w:color="auto"/>
              <w:left w:val="nil"/>
              <w:bottom w:val="single" w:sz="4" w:space="0" w:color="000000"/>
              <w:right w:val="single" w:sz="4" w:space="0" w:color="000000"/>
            </w:tcBorders>
            <w:shd w:val="clear" w:color="FFFFFF" w:fill="FFFFFF"/>
            <w:noWrap/>
            <w:vAlign w:val="center"/>
            <w:hideMark/>
          </w:tcPr>
          <w:p w14:paraId="09774F72"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412F791E"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55465049"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0582D8F0"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07C92F8E"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66DA3A58"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377D6B8C"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5</w:t>
            </w:r>
          </w:p>
        </w:tc>
        <w:tc>
          <w:tcPr>
            <w:tcW w:w="1706" w:type="pct"/>
            <w:tcBorders>
              <w:top w:val="single" w:sz="4" w:space="0" w:color="000000"/>
              <w:left w:val="nil"/>
              <w:bottom w:val="single" w:sz="4" w:space="0" w:color="000000"/>
              <w:right w:val="single" w:sz="4" w:space="0" w:color="000000"/>
            </w:tcBorders>
            <w:shd w:val="clear" w:color="FFFFFF" w:fill="FFFFFF"/>
            <w:noWrap/>
            <w:vAlign w:val="center"/>
            <w:hideMark/>
          </w:tcPr>
          <w:p w14:paraId="61939BCB"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76CCB4F3"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2646D84C"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06E4A591"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0CB069DF"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294B8186"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5CFD33DC"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6</w:t>
            </w:r>
          </w:p>
        </w:tc>
        <w:tc>
          <w:tcPr>
            <w:tcW w:w="1706" w:type="pct"/>
            <w:tcBorders>
              <w:top w:val="single" w:sz="4" w:space="0" w:color="000000"/>
              <w:left w:val="nil"/>
              <w:bottom w:val="single" w:sz="4" w:space="0" w:color="000000"/>
              <w:right w:val="single" w:sz="4" w:space="0" w:color="000000"/>
            </w:tcBorders>
            <w:shd w:val="clear" w:color="FFFFFF" w:fill="FFFFFF"/>
            <w:noWrap/>
            <w:vAlign w:val="center"/>
            <w:hideMark/>
          </w:tcPr>
          <w:p w14:paraId="78BB5C5B"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46D2FC4E"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27260FE2"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7A3C18E1"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6E937063"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515252DB"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50B4B963"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7</w:t>
            </w:r>
          </w:p>
        </w:tc>
        <w:tc>
          <w:tcPr>
            <w:tcW w:w="1706" w:type="pct"/>
            <w:tcBorders>
              <w:top w:val="single" w:sz="4" w:space="0" w:color="000000"/>
              <w:left w:val="nil"/>
              <w:bottom w:val="single" w:sz="4" w:space="0" w:color="000000"/>
              <w:right w:val="single" w:sz="4" w:space="0" w:color="000000"/>
            </w:tcBorders>
            <w:shd w:val="clear" w:color="FFFFFF" w:fill="FFFFFF"/>
            <w:noWrap/>
            <w:vAlign w:val="center"/>
            <w:hideMark/>
          </w:tcPr>
          <w:p w14:paraId="4038DE49"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60B46FC2"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05304C22"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28E561FC"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02ECCBC7"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4A8DD663"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5E4172ED"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8</w:t>
            </w:r>
          </w:p>
        </w:tc>
        <w:tc>
          <w:tcPr>
            <w:tcW w:w="1706" w:type="pct"/>
            <w:tcBorders>
              <w:top w:val="single" w:sz="4" w:space="0" w:color="000000"/>
              <w:left w:val="nil"/>
              <w:bottom w:val="single" w:sz="4" w:space="0" w:color="000000"/>
              <w:right w:val="single" w:sz="4" w:space="0" w:color="000000"/>
            </w:tcBorders>
            <w:shd w:val="clear" w:color="FFFFFF" w:fill="FFFFFF"/>
            <w:noWrap/>
            <w:vAlign w:val="center"/>
            <w:hideMark/>
          </w:tcPr>
          <w:p w14:paraId="0FE2D700"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0C5ED9DE"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2DD8DC56"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73899C0A"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013432CF"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6CAD17FC"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3E666DBB"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lastRenderedPageBreak/>
              <w:t>9</w:t>
            </w:r>
          </w:p>
        </w:tc>
        <w:tc>
          <w:tcPr>
            <w:tcW w:w="1706" w:type="pct"/>
            <w:tcBorders>
              <w:top w:val="single" w:sz="4" w:space="0" w:color="000000"/>
              <w:left w:val="nil"/>
              <w:bottom w:val="single" w:sz="4" w:space="0" w:color="000000"/>
              <w:right w:val="single" w:sz="4" w:space="0" w:color="000000"/>
            </w:tcBorders>
            <w:shd w:val="clear" w:color="FFFFFF" w:fill="FFFFFF"/>
            <w:noWrap/>
            <w:vAlign w:val="center"/>
            <w:hideMark/>
          </w:tcPr>
          <w:p w14:paraId="7A8C7519"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79753BEF"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218949C5"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2ADFCD7B"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66DAA306"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0798B7CC"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477E1396"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10</w:t>
            </w:r>
          </w:p>
        </w:tc>
        <w:tc>
          <w:tcPr>
            <w:tcW w:w="1706" w:type="pct"/>
            <w:tcBorders>
              <w:top w:val="single" w:sz="4" w:space="0" w:color="000000"/>
              <w:left w:val="nil"/>
              <w:bottom w:val="single" w:sz="4" w:space="0" w:color="000000"/>
              <w:right w:val="single" w:sz="4" w:space="0" w:color="000000"/>
            </w:tcBorders>
            <w:shd w:val="clear" w:color="FFFFFF" w:fill="FFFFFF"/>
            <w:noWrap/>
            <w:vAlign w:val="center"/>
            <w:hideMark/>
          </w:tcPr>
          <w:p w14:paraId="4AC230D7"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16D88FA9"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0D0BFAEC"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1FA5EFE0"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3BF02A6F"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5B7F2651"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08CFCDED"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11</w:t>
            </w:r>
          </w:p>
        </w:tc>
        <w:tc>
          <w:tcPr>
            <w:tcW w:w="1706" w:type="pct"/>
            <w:tcBorders>
              <w:top w:val="single" w:sz="4" w:space="0" w:color="000000"/>
              <w:left w:val="nil"/>
              <w:bottom w:val="single" w:sz="4" w:space="0" w:color="000000"/>
              <w:right w:val="single" w:sz="4" w:space="0" w:color="000000"/>
            </w:tcBorders>
            <w:shd w:val="clear" w:color="FFFFFF" w:fill="FFFFFF"/>
            <w:noWrap/>
            <w:vAlign w:val="center"/>
            <w:hideMark/>
          </w:tcPr>
          <w:p w14:paraId="271BB525"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6D01212F"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5F62F29F"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7202A2FD"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6A33ACF5"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336AF6DF" w14:textId="77777777" w:rsidTr="00B73C3D">
        <w:trPr>
          <w:trHeight w:val="99"/>
        </w:trPr>
        <w:tc>
          <w:tcPr>
            <w:tcW w:w="478" w:type="pct"/>
            <w:tcBorders>
              <w:top w:val="nil"/>
              <w:left w:val="single" w:sz="4" w:space="0" w:color="000000"/>
              <w:bottom w:val="single" w:sz="4" w:space="0" w:color="000000"/>
              <w:right w:val="single" w:sz="4" w:space="0" w:color="000000"/>
            </w:tcBorders>
            <w:shd w:val="clear" w:color="FFFFFF" w:fill="FFFFFF"/>
            <w:vAlign w:val="center"/>
            <w:hideMark/>
          </w:tcPr>
          <w:p w14:paraId="37EDE02C"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12</w:t>
            </w:r>
          </w:p>
        </w:tc>
        <w:tc>
          <w:tcPr>
            <w:tcW w:w="1706" w:type="pct"/>
            <w:tcBorders>
              <w:top w:val="single" w:sz="4" w:space="0" w:color="000000"/>
              <w:left w:val="nil"/>
              <w:bottom w:val="single" w:sz="4" w:space="0" w:color="000000"/>
              <w:right w:val="single" w:sz="4" w:space="0" w:color="000000"/>
            </w:tcBorders>
            <w:shd w:val="clear" w:color="FFFFFF" w:fill="FFFFFF"/>
            <w:noWrap/>
            <w:vAlign w:val="center"/>
            <w:hideMark/>
          </w:tcPr>
          <w:p w14:paraId="3BBDBD4B"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7913C0C2"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nil"/>
              <w:left w:val="nil"/>
              <w:bottom w:val="single" w:sz="4" w:space="0" w:color="000000"/>
              <w:right w:val="single" w:sz="4" w:space="0" w:color="000000"/>
            </w:tcBorders>
            <w:shd w:val="clear" w:color="FFFFFF" w:fill="FFFFFF"/>
            <w:vAlign w:val="center"/>
            <w:hideMark/>
          </w:tcPr>
          <w:p w14:paraId="05D6BC81"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000000"/>
              <w:right w:val="single" w:sz="4" w:space="0" w:color="000000"/>
            </w:tcBorders>
            <w:shd w:val="clear" w:color="FFFFFF" w:fill="FFFFFF"/>
            <w:noWrap/>
            <w:vAlign w:val="center"/>
            <w:hideMark/>
          </w:tcPr>
          <w:p w14:paraId="1A0A553E"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nil"/>
              <w:left w:val="nil"/>
              <w:bottom w:val="single" w:sz="4" w:space="0" w:color="000000"/>
              <w:right w:val="single" w:sz="4" w:space="0" w:color="000000"/>
            </w:tcBorders>
            <w:shd w:val="clear" w:color="auto" w:fill="auto"/>
            <w:noWrap/>
            <w:vAlign w:val="center"/>
            <w:hideMark/>
          </w:tcPr>
          <w:p w14:paraId="1974DDBA"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2C1BEE" w:rsidRPr="00D66135" w14:paraId="7587C0DC" w14:textId="77777777" w:rsidTr="00B73C3D">
        <w:trPr>
          <w:trHeight w:val="136"/>
        </w:trPr>
        <w:tc>
          <w:tcPr>
            <w:tcW w:w="478" w:type="pct"/>
            <w:tcBorders>
              <w:top w:val="single" w:sz="4" w:space="0" w:color="000000"/>
              <w:left w:val="single" w:sz="4" w:space="0" w:color="000000"/>
              <w:bottom w:val="single" w:sz="4" w:space="0" w:color="auto"/>
              <w:right w:val="single" w:sz="4" w:space="0" w:color="000000"/>
            </w:tcBorders>
            <w:shd w:val="clear" w:color="FFFFFF" w:fill="FFFFFF"/>
            <w:vAlign w:val="center"/>
            <w:hideMark/>
          </w:tcPr>
          <w:p w14:paraId="298D9BBC"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13</w:t>
            </w:r>
          </w:p>
        </w:tc>
        <w:tc>
          <w:tcPr>
            <w:tcW w:w="1706" w:type="pct"/>
            <w:tcBorders>
              <w:top w:val="single" w:sz="4" w:space="0" w:color="000000"/>
              <w:left w:val="nil"/>
              <w:bottom w:val="single" w:sz="4" w:space="0" w:color="auto"/>
              <w:right w:val="single" w:sz="4" w:space="0" w:color="000000"/>
            </w:tcBorders>
            <w:shd w:val="clear" w:color="FFFFFF" w:fill="FFFFFF"/>
            <w:noWrap/>
            <w:vAlign w:val="center"/>
            <w:hideMark/>
          </w:tcPr>
          <w:p w14:paraId="389C4327"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p w14:paraId="5DC9106C"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tc>
        <w:tc>
          <w:tcPr>
            <w:tcW w:w="1023" w:type="pct"/>
            <w:tcBorders>
              <w:top w:val="single" w:sz="4" w:space="0" w:color="000000"/>
              <w:left w:val="nil"/>
              <w:bottom w:val="single" w:sz="4" w:space="0" w:color="auto"/>
              <w:right w:val="single" w:sz="4" w:space="0" w:color="000000"/>
            </w:tcBorders>
            <w:shd w:val="clear" w:color="FFFFFF" w:fill="FFFFFF"/>
            <w:vAlign w:val="center"/>
            <w:hideMark/>
          </w:tcPr>
          <w:p w14:paraId="0587F699" w14:textId="77777777" w:rsidR="0094239A" w:rsidRPr="00D66135" w:rsidRDefault="0094239A" w:rsidP="00D57350">
            <w:pPr>
              <w:spacing w:after="0" w:line="240" w:lineRule="auto"/>
              <w:jc w:val="both"/>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887" w:type="pct"/>
            <w:tcBorders>
              <w:top w:val="single" w:sz="4" w:space="0" w:color="000000"/>
              <w:left w:val="nil"/>
              <w:bottom w:val="single" w:sz="4" w:space="0" w:color="auto"/>
              <w:right w:val="single" w:sz="4" w:space="0" w:color="000000"/>
            </w:tcBorders>
            <w:shd w:val="clear" w:color="FFFFFF" w:fill="FFFFFF"/>
            <w:noWrap/>
            <w:vAlign w:val="center"/>
            <w:hideMark/>
          </w:tcPr>
          <w:p w14:paraId="4C0C0C9F"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c>
          <w:tcPr>
            <w:tcW w:w="906" w:type="pct"/>
            <w:tcBorders>
              <w:top w:val="single" w:sz="4" w:space="0" w:color="000000"/>
              <w:left w:val="nil"/>
              <w:bottom w:val="single" w:sz="4" w:space="0" w:color="auto"/>
              <w:right w:val="single" w:sz="4" w:space="0" w:color="000000"/>
            </w:tcBorders>
            <w:shd w:val="clear" w:color="auto" w:fill="auto"/>
            <w:noWrap/>
            <w:vAlign w:val="center"/>
            <w:hideMark/>
          </w:tcPr>
          <w:p w14:paraId="054CFCB8" w14:textId="77777777" w:rsidR="003200F7"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w:t>
            </w:r>
          </w:p>
        </w:tc>
      </w:tr>
      <w:tr w:rsidR="003200F7" w:rsidRPr="00D66135" w14:paraId="30BE7353" w14:textId="77777777" w:rsidTr="003200F7">
        <w:trPr>
          <w:trHeight w:val="136"/>
        </w:trPr>
        <w:tc>
          <w:tcPr>
            <w:tcW w:w="478" w:type="pct"/>
            <w:tcBorders>
              <w:top w:val="single" w:sz="4" w:space="0" w:color="000000"/>
              <w:left w:val="single" w:sz="4" w:space="0" w:color="000000"/>
              <w:bottom w:val="single" w:sz="4" w:space="0" w:color="auto"/>
              <w:right w:val="single" w:sz="4" w:space="0" w:color="000000"/>
            </w:tcBorders>
            <w:shd w:val="clear" w:color="FFFFFF" w:fill="FFFFFF"/>
            <w:vAlign w:val="center"/>
          </w:tcPr>
          <w:p w14:paraId="73FEA397" w14:textId="77777777" w:rsidR="003200F7" w:rsidRPr="00D66135" w:rsidRDefault="003200F7" w:rsidP="003200F7">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14</w:t>
            </w:r>
          </w:p>
        </w:tc>
        <w:tc>
          <w:tcPr>
            <w:tcW w:w="1706" w:type="pct"/>
            <w:tcBorders>
              <w:top w:val="single" w:sz="4" w:space="0" w:color="000000"/>
              <w:left w:val="nil"/>
              <w:bottom w:val="single" w:sz="4" w:space="0" w:color="auto"/>
              <w:right w:val="single" w:sz="4" w:space="0" w:color="000000"/>
            </w:tcBorders>
            <w:shd w:val="clear" w:color="FFFFFF" w:fill="FFFFFF"/>
            <w:noWrap/>
            <w:vAlign w:val="center"/>
          </w:tcPr>
          <w:p w14:paraId="0AD6D8D0" w14:textId="77777777" w:rsidR="003200F7" w:rsidRPr="00D66135" w:rsidRDefault="003200F7" w:rsidP="00D57350">
            <w:pPr>
              <w:spacing w:after="0" w:line="240" w:lineRule="auto"/>
              <w:rPr>
                <w:rFonts w:ascii="Arial" w:eastAsia="Times New Roman" w:hAnsi="Arial" w:cs="Arial"/>
                <w:color w:val="000000"/>
                <w:sz w:val="20"/>
                <w:szCs w:val="20"/>
                <w:lang w:eastAsia="es-CO"/>
              </w:rPr>
            </w:pPr>
          </w:p>
          <w:p w14:paraId="6F4847E6" w14:textId="77777777" w:rsidR="003200F7" w:rsidRPr="00D66135" w:rsidRDefault="003200F7" w:rsidP="00D57350">
            <w:pPr>
              <w:spacing w:after="0" w:line="240" w:lineRule="auto"/>
              <w:rPr>
                <w:rFonts w:ascii="Arial" w:eastAsia="Times New Roman" w:hAnsi="Arial" w:cs="Arial"/>
                <w:color w:val="000000"/>
                <w:sz w:val="20"/>
                <w:szCs w:val="20"/>
                <w:lang w:eastAsia="es-CO"/>
              </w:rPr>
            </w:pPr>
          </w:p>
        </w:tc>
        <w:tc>
          <w:tcPr>
            <w:tcW w:w="1023" w:type="pct"/>
            <w:tcBorders>
              <w:top w:val="single" w:sz="4" w:space="0" w:color="000000"/>
              <w:left w:val="nil"/>
              <w:bottom w:val="single" w:sz="4" w:space="0" w:color="auto"/>
              <w:right w:val="single" w:sz="4" w:space="0" w:color="000000"/>
            </w:tcBorders>
            <w:shd w:val="clear" w:color="FFFFFF" w:fill="FFFFFF"/>
            <w:vAlign w:val="center"/>
          </w:tcPr>
          <w:p w14:paraId="42FB466E" w14:textId="77777777" w:rsidR="003200F7" w:rsidRPr="00D66135" w:rsidRDefault="003200F7" w:rsidP="00D57350">
            <w:pPr>
              <w:spacing w:after="0" w:line="240" w:lineRule="auto"/>
              <w:jc w:val="both"/>
              <w:rPr>
                <w:rFonts w:ascii="Arial" w:eastAsia="Times New Roman" w:hAnsi="Arial" w:cs="Arial"/>
                <w:color w:val="000000"/>
                <w:sz w:val="20"/>
                <w:szCs w:val="20"/>
                <w:lang w:eastAsia="es-CO"/>
              </w:rPr>
            </w:pPr>
          </w:p>
        </w:tc>
        <w:tc>
          <w:tcPr>
            <w:tcW w:w="887" w:type="pct"/>
            <w:tcBorders>
              <w:top w:val="single" w:sz="4" w:space="0" w:color="000000"/>
              <w:left w:val="nil"/>
              <w:bottom w:val="single" w:sz="4" w:space="0" w:color="auto"/>
              <w:right w:val="single" w:sz="4" w:space="0" w:color="000000"/>
            </w:tcBorders>
            <w:shd w:val="clear" w:color="FFFFFF" w:fill="FFFFFF"/>
            <w:noWrap/>
            <w:vAlign w:val="center"/>
          </w:tcPr>
          <w:p w14:paraId="3CC9B7D0" w14:textId="77777777" w:rsidR="003200F7" w:rsidRPr="00D66135" w:rsidRDefault="003200F7" w:rsidP="00D57350">
            <w:pPr>
              <w:spacing w:after="0" w:line="240" w:lineRule="auto"/>
              <w:rPr>
                <w:rFonts w:ascii="Arial" w:eastAsia="Times New Roman" w:hAnsi="Arial" w:cs="Arial"/>
                <w:color w:val="000000"/>
                <w:sz w:val="20"/>
                <w:szCs w:val="20"/>
                <w:lang w:eastAsia="es-CO"/>
              </w:rPr>
            </w:pPr>
          </w:p>
        </w:tc>
        <w:tc>
          <w:tcPr>
            <w:tcW w:w="906" w:type="pct"/>
            <w:tcBorders>
              <w:top w:val="single" w:sz="4" w:space="0" w:color="000000"/>
              <w:left w:val="nil"/>
              <w:bottom w:val="single" w:sz="4" w:space="0" w:color="auto"/>
              <w:right w:val="single" w:sz="4" w:space="0" w:color="000000"/>
            </w:tcBorders>
            <w:shd w:val="clear" w:color="auto" w:fill="auto"/>
            <w:noWrap/>
            <w:vAlign w:val="center"/>
          </w:tcPr>
          <w:p w14:paraId="219D75D7" w14:textId="77777777" w:rsidR="003200F7" w:rsidRPr="00D66135" w:rsidRDefault="003200F7" w:rsidP="00D57350">
            <w:pPr>
              <w:spacing w:after="0" w:line="240" w:lineRule="auto"/>
              <w:rPr>
                <w:rFonts w:ascii="Arial" w:eastAsia="Times New Roman" w:hAnsi="Arial" w:cs="Arial"/>
                <w:color w:val="000000"/>
                <w:sz w:val="20"/>
                <w:szCs w:val="20"/>
                <w:lang w:eastAsia="es-CO"/>
              </w:rPr>
            </w:pPr>
          </w:p>
        </w:tc>
      </w:tr>
      <w:tr w:rsidR="003200F7" w:rsidRPr="00D66135" w14:paraId="2813DBC9" w14:textId="77777777" w:rsidTr="003200F7">
        <w:trPr>
          <w:trHeight w:val="136"/>
        </w:trPr>
        <w:tc>
          <w:tcPr>
            <w:tcW w:w="478" w:type="pct"/>
            <w:tcBorders>
              <w:top w:val="single" w:sz="4" w:space="0" w:color="000000"/>
              <w:left w:val="single" w:sz="4" w:space="0" w:color="000000"/>
              <w:bottom w:val="single" w:sz="4" w:space="0" w:color="auto"/>
              <w:right w:val="single" w:sz="4" w:space="0" w:color="000000"/>
            </w:tcBorders>
            <w:shd w:val="clear" w:color="FFFFFF" w:fill="FFFFFF"/>
            <w:vAlign w:val="center"/>
          </w:tcPr>
          <w:p w14:paraId="155B162A" w14:textId="77777777" w:rsidR="003200F7" w:rsidRPr="00D66135" w:rsidRDefault="003200F7" w:rsidP="003200F7">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15</w:t>
            </w:r>
          </w:p>
        </w:tc>
        <w:tc>
          <w:tcPr>
            <w:tcW w:w="1706" w:type="pct"/>
            <w:tcBorders>
              <w:top w:val="single" w:sz="4" w:space="0" w:color="000000"/>
              <w:left w:val="nil"/>
              <w:bottom w:val="single" w:sz="4" w:space="0" w:color="auto"/>
              <w:right w:val="single" w:sz="4" w:space="0" w:color="000000"/>
            </w:tcBorders>
            <w:shd w:val="clear" w:color="FFFFFF" w:fill="FFFFFF"/>
            <w:noWrap/>
            <w:vAlign w:val="center"/>
          </w:tcPr>
          <w:p w14:paraId="626E0905" w14:textId="77777777" w:rsidR="003200F7" w:rsidRPr="00D66135" w:rsidRDefault="003200F7" w:rsidP="00D57350">
            <w:pPr>
              <w:spacing w:after="0" w:line="240" w:lineRule="auto"/>
              <w:rPr>
                <w:rFonts w:ascii="Arial" w:eastAsia="Times New Roman" w:hAnsi="Arial" w:cs="Arial"/>
                <w:color w:val="000000"/>
                <w:sz w:val="20"/>
                <w:szCs w:val="20"/>
                <w:lang w:eastAsia="es-CO"/>
              </w:rPr>
            </w:pPr>
          </w:p>
          <w:p w14:paraId="325CF4C3" w14:textId="77777777" w:rsidR="003200F7" w:rsidRPr="00D66135" w:rsidRDefault="003200F7" w:rsidP="00D57350">
            <w:pPr>
              <w:spacing w:after="0" w:line="240" w:lineRule="auto"/>
              <w:rPr>
                <w:rFonts w:ascii="Arial" w:eastAsia="Times New Roman" w:hAnsi="Arial" w:cs="Arial"/>
                <w:color w:val="000000"/>
                <w:sz w:val="20"/>
                <w:szCs w:val="20"/>
                <w:lang w:eastAsia="es-CO"/>
              </w:rPr>
            </w:pPr>
          </w:p>
        </w:tc>
        <w:tc>
          <w:tcPr>
            <w:tcW w:w="1023" w:type="pct"/>
            <w:tcBorders>
              <w:top w:val="single" w:sz="4" w:space="0" w:color="000000"/>
              <w:left w:val="nil"/>
              <w:bottom w:val="single" w:sz="4" w:space="0" w:color="auto"/>
              <w:right w:val="single" w:sz="4" w:space="0" w:color="000000"/>
            </w:tcBorders>
            <w:shd w:val="clear" w:color="FFFFFF" w:fill="FFFFFF"/>
            <w:vAlign w:val="center"/>
          </w:tcPr>
          <w:p w14:paraId="33269E8E" w14:textId="77777777" w:rsidR="003200F7" w:rsidRPr="00D66135" w:rsidRDefault="003200F7" w:rsidP="00D57350">
            <w:pPr>
              <w:spacing w:after="0" w:line="240" w:lineRule="auto"/>
              <w:jc w:val="both"/>
              <w:rPr>
                <w:rFonts w:ascii="Arial" w:eastAsia="Times New Roman" w:hAnsi="Arial" w:cs="Arial"/>
                <w:color w:val="000000"/>
                <w:sz w:val="20"/>
                <w:szCs w:val="20"/>
                <w:lang w:eastAsia="es-CO"/>
              </w:rPr>
            </w:pPr>
          </w:p>
        </w:tc>
        <w:tc>
          <w:tcPr>
            <w:tcW w:w="887" w:type="pct"/>
            <w:tcBorders>
              <w:top w:val="single" w:sz="4" w:space="0" w:color="000000"/>
              <w:left w:val="nil"/>
              <w:bottom w:val="single" w:sz="4" w:space="0" w:color="auto"/>
              <w:right w:val="single" w:sz="4" w:space="0" w:color="000000"/>
            </w:tcBorders>
            <w:shd w:val="clear" w:color="FFFFFF" w:fill="FFFFFF"/>
            <w:noWrap/>
            <w:vAlign w:val="center"/>
          </w:tcPr>
          <w:p w14:paraId="6B9D6C86" w14:textId="77777777" w:rsidR="003200F7" w:rsidRPr="00D66135" w:rsidRDefault="003200F7" w:rsidP="00D57350">
            <w:pPr>
              <w:spacing w:after="0" w:line="240" w:lineRule="auto"/>
              <w:rPr>
                <w:rFonts w:ascii="Arial" w:eastAsia="Times New Roman" w:hAnsi="Arial" w:cs="Arial"/>
                <w:color w:val="000000"/>
                <w:sz w:val="20"/>
                <w:szCs w:val="20"/>
                <w:lang w:eastAsia="es-CO"/>
              </w:rPr>
            </w:pPr>
          </w:p>
        </w:tc>
        <w:tc>
          <w:tcPr>
            <w:tcW w:w="906" w:type="pct"/>
            <w:tcBorders>
              <w:top w:val="single" w:sz="4" w:space="0" w:color="000000"/>
              <w:left w:val="nil"/>
              <w:bottom w:val="single" w:sz="4" w:space="0" w:color="auto"/>
              <w:right w:val="single" w:sz="4" w:space="0" w:color="000000"/>
            </w:tcBorders>
            <w:shd w:val="clear" w:color="auto" w:fill="auto"/>
            <w:noWrap/>
            <w:vAlign w:val="center"/>
          </w:tcPr>
          <w:p w14:paraId="115940B3" w14:textId="77777777" w:rsidR="003200F7" w:rsidRPr="00D66135" w:rsidRDefault="003200F7" w:rsidP="00D57350">
            <w:pPr>
              <w:spacing w:after="0" w:line="240" w:lineRule="auto"/>
              <w:rPr>
                <w:rFonts w:ascii="Arial" w:eastAsia="Times New Roman" w:hAnsi="Arial" w:cs="Arial"/>
                <w:color w:val="000000"/>
                <w:sz w:val="20"/>
                <w:szCs w:val="20"/>
                <w:lang w:eastAsia="es-CO"/>
              </w:rPr>
            </w:pPr>
          </w:p>
        </w:tc>
      </w:tr>
      <w:tr w:rsidR="0094239A" w:rsidRPr="00D66135" w14:paraId="6C2D3ED5" w14:textId="77777777" w:rsidTr="00B73C3D">
        <w:trPr>
          <w:trHeight w:val="2273"/>
        </w:trPr>
        <w:tc>
          <w:tcPr>
            <w:tcW w:w="5000" w:type="pct"/>
            <w:gridSpan w:val="5"/>
            <w:tcBorders>
              <w:top w:val="single" w:sz="4" w:space="0" w:color="auto"/>
              <w:left w:val="single" w:sz="4" w:space="0" w:color="auto"/>
              <w:bottom w:val="single" w:sz="4" w:space="0" w:color="auto"/>
              <w:right w:val="single" w:sz="4" w:space="0" w:color="auto"/>
            </w:tcBorders>
            <w:shd w:val="clear" w:color="FFFFFF" w:fill="FFFFFF"/>
            <w:vAlign w:val="center"/>
            <w:hideMark/>
          </w:tcPr>
          <w:p w14:paraId="1CE36FCF" w14:textId="77777777" w:rsidR="003C4178" w:rsidRPr="00D66135" w:rsidRDefault="003C4178" w:rsidP="00D57350">
            <w:pPr>
              <w:spacing w:after="0" w:line="240" w:lineRule="auto"/>
              <w:rPr>
                <w:rFonts w:ascii="Arial" w:eastAsia="Times New Roman" w:hAnsi="Arial" w:cs="Arial"/>
                <w:color w:val="000000"/>
                <w:sz w:val="20"/>
                <w:szCs w:val="20"/>
                <w:lang w:eastAsia="es-CO"/>
              </w:rPr>
            </w:pPr>
          </w:p>
          <w:p w14:paraId="5C451E1B" w14:textId="77777777" w:rsidR="003C4178" w:rsidRPr="00D66135" w:rsidRDefault="003C4178" w:rsidP="00D57350">
            <w:pPr>
              <w:spacing w:after="0" w:line="240" w:lineRule="auto"/>
              <w:rPr>
                <w:rFonts w:ascii="Arial" w:eastAsia="Times New Roman" w:hAnsi="Arial" w:cs="Arial"/>
                <w:color w:val="000000"/>
                <w:sz w:val="20"/>
                <w:szCs w:val="20"/>
                <w:lang w:eastAsia="es-CO"/>
              </w:rPr>
            </w:pPr>
          </w:p>
          <w:p w14:paraId="62A0DDB4" w14:textId="77777777" w:rsidR="00B73C3D" w:rsidRPr="00D66135" w:rsidRDefault="00B73C3D"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Los asistentes deciden programar su próxima reunión:</w:t>
            </w:r>
          </w:p>
          <w:p w14:paraId="506631CF" w14:textId="77777777" w:rsidR="003C4178" w:rsidRPr="00D66135" w:rsidRDefault="003C4178" w:rsidP="00D57350">
            <w:pPr>
              <w:spacing w:after="0" w:line="240" w:lineRule="auto"/>
              <w:rPr>
                <w:rFonts w:ascii="Arial" w:eastAsia="Times New Roman" w:hAnsi="Arial" w:cs="Arial"/>
                <w:color w:val="000000"/>
                <w:sz w:val="20"/>
                <w:szCs w:val="20"/>
                <w:lang w:eastAsia="es-CO"/>
              </w:rPr>
            </w:pPr>
          </w:p>
          <w:p w14:paraId="7B91AFDB" w14:textId="77777777" w:rsidR="003C4178" w:rsidRPr="00D66135" w:rsidRDefault="003C4178" w:rsidP="00D57350">
            <w:pPr>
              <w:spacing w:after="0" w:line="240" w:lineRule="auto"/>
              <w:rPr>
                <w:rFonts w:ascii="Arial" w:eastAsia="Times New Roman" w:hAnsi="Arial" w:cs="Arial"/>
                <w:color w:val="000000"/>
                <w:sz w:val="20"/>
                <w:szCs w:val="20"/>
                <w:lang w:eastAsia="es-CO"/>
              </w:rPr>
            </w:pPr>
          </w:p>
          <w:p w14:paraId="1F1466B6"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Próxima reunión:</w:t>
            </w:r>
          </w:p>
          <w:p w14:paraId="6CB51B39"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Fecha:</w:t>
            </w:r>
          </w:p>
          <w:p w14:paraId="7AE24201"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Hora:</w:t>
            </w:r>
          </w:p>
          <w:p w14:paraId="550B1A92" w14:textId="77777777" w:rsidR="0094239A" w:rsidRPr="00D66135" w:rsidRDefault="0094239A" w:rsidP="00D57350">
            <w:pPr>
              <w:spacing w:after="0" w:line="240" w:lineRule="auto"/>
              <w:rPr>
                <w:rFonts w:ascii="Arial" w:eastAsia="Times New Roman" w:hAnsi="Arial" w:cs="Arial"/>
                <w:b/>
                <w:color w:val="000000"/>
                <w:sz w:val="20"/>
                <w:szCs w:val="20"/>
                <w:lang w:eastAsia="es-CO"/>
              </w:rPr>
            </w:pPr>
            <w:r w:rsidRPr="00D66135">
              <w:rPr>
                <w:rFonts w:ascii="Arial" w:eastAsia="Times New Roman" w:hAnsi="Arial" w:cs="Arial"/>
                <w:b/>
                <w:color w:val="000000"/>
                <w:sz w:val="20"/>
                <w:szCs w:val="20"/>
                <w:lang w:eastAsia="es-CO"/>
              </w:rPr>
              <w:t>Tema(s) a tratar</w:t>
            </w:r>
          </w:p>
          <w:p w14:paraId="260736C5" w14:textId="77777777" w:rsidR="0094239A" w:rsidRPr="00D66135" w:rsidRDefault="0094239A" w:rsidP="00D57350">
            <w:pPr>
              <w:spacing w:after="0" w:line="240" w:lineRule="auto"/>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 xml:space="preserve">Lugar: </w:t>
            </w:r>
          </w:p>
          <w:p w14:paraId="7DCCF456" w14:textId="77777777" w:rsidR="0094239A" w:rsidRPr="00D66135" w:rsidRDefault="0094239A" w:rsidP="00D57350">
            <w:pPr>
              <w:spacing w:after="0" w:line="240" w:lineRule="auto"/>
              <w:rPr>
                <w:rFonts w:ascii="Arial" w:eastAsia="Times New Roman" w:hAnsi="Arial" w:cs="Arial"/>
                <w:color w:val="000000"/>
                <w:sz w:val="20"/>
                <w:szCs w:val="20"/>
                <w:lang w:eastAsia="es-CO"/>
              </w:rPr>
            </w:pPr>
          </w:p>
          <w:p w14:paraId="3AC6801A" w14:textId="77777777" w:rsidR="0094239A" w:rsidRPr="00D66135" w:rsidRDefault="0094239A" w:rsidP="00D57350">
            <w:pPr>
              <w:spacing w:after="0" w:line="240" w:lineRule="auto"/>
              <w:jc w:val="center"/>
              <w:rPr>
                <w:rFonts w:ascii="Arial" w:eastAsia="Times New Roman" w:hAnsi="Arial" w:cs="Arial"/>
                <w:color w:val="000000"/>
                <w:sz w:val="20"/>
                <w:szCs w:val="20"/>
                <w:lang w:eastAsia="es-CO"/>
              </w:rPr>
            </w:pPr>
            <w:r w:rsidRPr="00D66135">
              <w:rPr>
                <w:rFonts w:ascii="Arial" w:eastAsia="Times New Roman" w:hAnsi="Arial" w:cs="Arial"/>
                <w:color w:val="000000"/>
                <w:sz w:val="20"/>
                <w:szCs w:val="20"/>
                <w:lang w:eastAsia="es-CO"/>
              </w:rPr>
              <w:t>Se dio por terminada esta actividad, habiéndose desarrollado los temas contenidos en esta acta y comprometiéndose las partes a cumplir con los compromisos adquiridos en la misma.</w:t>
            </w:r>
          </w:p>
        </w:tc>
      </w:tr>
    </w:tbl>
    <w:p w14:paraId="1ED065F8" w14:textId="77777777" w:rsidR="001A614E" w:rsidRDefault="001A614E"/>
    <w:sectPr w:rsidR="001A614E" w:rsidSect="00F41D00">
      <w:headerReference w:type="default" r:id="rId8"/>
      <w:footerReference w:type="even" r:id="rId9"/>
      <w:footerReference w:type="default" r:id="rId10"/>
      <w:pgSz w:w="12240" w:h="15840" w:code="1"/>
      <w:pgMar w:top="2509" w:right="1701" w:bottom="1417" w:left="1701"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AE287" w14:textId="77777777" w:rsidR="007979CA" w:rsidRDefault="007979CA" w:rsidP="00D15194">
      <w:pPr>
        <w:spacing w:after="0" w:line="240" w:lineRule="auto"/>
      </w:pPr>
      <w:r>
        <w:separator/>
      </w:r>
    </w:p>
  </w:endnote>
  <w:endnote w:type="continuationSeparator" w:id="0">
    <w:p w14:paraId="1C2EAE6D" w14:textId="77777777" w:rsidR="007979CA" w:rsidRDefault="007979CA" w:rsidP="00D15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Nova">
    <w:charset w:val="00"/>
    <w:family w:val="swiss"/>
    <w:pitch w:val="variable"/>
    <w:sig w:usb0="2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E752" w14:textId="77777777" w:rsidR="00D15194" w:rsidRDefault="00D15194" w:rsidP="00D15194">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FEF91" w14:textId="578B2911" w:rsidR="002E41B5" w:rsidRPr="008B03F1" w:rsidRDefault="002E41B5" w:rsidP="001F58D5">
    <w:pPr>
      <w:spacing w:after="0" w:line="240" w:lineRule="auto"/>
      <w:rPr>
        <w:rFonts w:ascii="Times New Roman" w:eastAsia="Times New Roman" w:hAnsi="Times New Roman" w:cs="Times New Roman"/>
        <w:szCs w:val="24"/>
        <w:lang w:eastAsia="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AD84A" w14:textId="77777777" w:rsidR="007979CA" w:rsidRDefault="007979CA" w:rsidP="00D15194">
      <w:pPr>
        <w:spacing w:after="0" w:line="240" w:lineRule="auto"/>
      </w:pPr>
      <w:r>
        <w:separator/>
      </w:r>
    </w:p>
  </w:footnote>
  <w:footnote w:type="continuationSeparator" w:id="0">
    <w:p w14:paraId="19219833" w14:textId="77777777" w:rsidR="007979CA" w:rsidRDefault="007979CA" w:rsidP="00D15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page" w:horzAnchor="margin" w:tblpXSpec="center" w:tblpY="748"/>
      <w:tblW w:w="5938" w:type="pct"/>
      <w:tblLayout w:type="fixed"/>
      <w:tblCellMar>
        <w:left w:w="70" w:type="dxa"/>
        <w:right w:w="70" w:type="dxa"/>
      </w:tblCellMar>
      <w:tblLook w:val="04A0" w:firstRow="1" w:lastRow="0" w:firstColumn="1" w:lastColumn="0" w:noHBand="0" w:noVBand="1"/>
    </w:tblPr>
    <w:tblGrid>
      <w:gridCol w:w="2405"/>
      <w:gridCol w:w="5812"/>
      <w:gridCol w:w="2267"/>
    </w:tblGrid>
    <w:tr w:rsidR="00F31311" w:rsidRPr="00D15194" w14:paraId="564900CE" w14:textId="77777777" w:rsidTr="00187A2E">
      <w:trPr>
        <w:trHeight w:val="370"/>
      </w:trPr>
      <w:tc>
        <w:tcPr>
          <w:tcW w:w="114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0E215F" w14:textId="0DA5F8BA" w:rsidR="00F31311" w:rsidRPr="00D15194" w:rsidRDefault="00187A2E" w:rsidP="00187A2E">
          <w:pPr>
            <w:spacing w:after="0" w:line="240" w:lineRule="auto"/>
            <w:jc w:val="center"/>
            <w:rPr>
              <w:rFonts w:ascii="Arial" w:eastAsia="Times New Roman" w:hAnsi="Arial" w:cs="Arial"/>
              <w:color w:val="000000"/>
              <w:lang w:eastAsia="es-CO"/>
            </w:rPr>
          </w:pPr>
          <w:r>
            <w:rPr>
              <w:rFonts w:ascii="Arial" w:eastAsia="Times New Roman" w:hAnsi="Arial" w:cs="Arial"/>
              <w:noProof/>
              <w:color w:val="000000"/>
              <w:lang w:eastAsia="es-CO"/>
            </w:rPr>
            <w:drawing>
              <wp:anchor distT="0" distB="0" distL="114300" distR="114300" simplePos="0" relativeHeight="251658240" behindDoc="0" locked="0" layoutInCell="1" allowOverlap="1" wp14:anchorId="0A5BF87B" wp14:editId="07D66109">
                <wp:simplePos x="0" y="0"/>
                <wp:positionH relativeFrom="column">
                  <wp:posOffset>58420</wp:posOffset>
                </wp:positionH>
                <wp:positionV relativeFrom="paragraph">
                  <wp:posOffset>-286385</wp:posOffset>
                </wp:positionV>
                <wp:extent cx="1347470" cy="640080"/>
                <wp:effectExtent l="0" t="0" r="5080" b="762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7470" cy="640080"/>
                        </a:xfrm>
                        <a:prstGeom prst="rect">
                          <a:avLst/>
                        </a:prstGeom>
                        <a:noFill/>
                      </pic:spPr>
                    </pic:pic>
                  </a:graphicData>
                </a:graphic>
                <wp14:sizeRelH relativeFrom="page">
                  <wp14:pctWidth>0</wp14:pctWidth>
                </wp14:sizeRelH>
                <wp14:sizeRelV relativeFrom="page">
                  <wp14:pctHeight>0</wp14:pctHeight>
                </wp14:sizeRelV>
              </wp:anchor>
            </w:drawing>
          </w:r>
        </w:p>
      </w:tc>
      <w:tc>
        <w:tcPr>
          <w:tcW w:w="277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231A05" w14:textId="4C609B30" w:rsidR="00F31311" w:rsidRPr="00D15194" w:rsidRDefault="001F58D5" w:rsidP="00C948AE">
          <w:pPr>
            <w:spacing w:after="0" w:line="240" w:lineRule="auto"/>
            <w:jc w:val="center"/>
            <w:rPr>
              <w:rFonts w:ascii="Arial" w:eastAsia="Times New Roman" w:hAnsi="Arial" w:cs="Arial"/>
              <w:color w:val="000000"/>
              <w:sz w:val="28"/>
              <w:szCs w:val="28"/>
              <w:lang w:eastAsia="es-CO"/>
            </w:rPr>
          </w:pPr>
          <w:r w:rsidRPr="001F58D5">
            <w:rPr>
              <w:rFonts w:ascii="Arial" w:eastAsia="Times New Roman" w:hAnsi="Arial" w:cs="Arial"/>
              <w:color w:val="000000"/>
              <w:sz w:val="28"/>
              <w:szCs w:val="28"/>
              <w:lang w:eastAsia="es-CO"/>
            </w:rPr>
            <w:t>ESE UNIVERSITARIA DEL ATLÁNTICO</w:t>
          </w:r>
          <w:r w:rsidR="00F31311" w:rsidRPr="00D15194">
            <w:rPr>
              <w:rFonts w:ascii="Arial" w:eastAsia="Times New Roman" w:hAnsi="Arial" w:cs="Arial"/>
              <w:color w:val="000000"/>
              <w:sz w:val="28"/>
              <w:szCs w:val="28"/>
              <w:lang w:eastAsia="es-CO"/>
            </w:rPr>
            <w:br/>
          </w:r>
          <w:r w:rsidR="00F31311" w:rsidRPr="008B03F1">
            <w:rPr>
              <w:rFonts w:ascii="Arial" w:eastAsia="Times New Roman" w:hAnsi="Arial" w:cs="Arial"/>
              <w:color w:val="000000"/>
              <w:sz w:val="24"/>
              <w:szCs w:val="28"/>
              <w:lang w:eastAsia="es-CO"/>
            </w:rPr>
            <w:t>ACTA DE REUNIÓN</w:t>
          </w:r>
        </w:p>
      </w:tc>
      <w:tc>
        <w:tcPr>
          <w:tcW w:w="1081" w:type="pct"/>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40AA09DC" w14:textId="77777777" w:rsidR="00F31311" w:rsidRPr="008B03F1" w:rsidRDefault="00F83CD0" w:rsidP="00F83CD0">
          <w:pPr>
            <w:spacing w:after="0" w:line="240" w:lineRule="auto"/>
            <w:rPr>
              <w:rFonts w:ascii="Arial" w:eastAsia="Times New Roman" w:hAnsi="Arial" w:cs="Arial"/>
              <w:color w:val="000000"/>
              <w:sz w:val="16"/>
              <w:szCs w:val="16"/>
              <w:lang w:eastAsia="es-CO"/>
            </w:rPr>
          </w:pPr>
          <w:r>
            <w:rPr>
              <w:rFonts w:ascii="Arial" w:eastAsia="Times New Roman" w:hAnsi="Arial" w:cs="Arial"/>
              <w:color w:val="000000"/>
              <w:sz w:val="16"/>
              <w:szCs w:val="16"/>
              <w:lang w:eastAsia="es-CO"/>
            </w:rPr>
            <w:t>CODIGO: FT-GC-005</w:t>
          </w:r>
        </w:p>
      </w:tc>
    </w:tr>
    <w:tr w:rsidR="00F31311" w:rsidRPr="00D15194" w14:paraId="65F1D9C8" w14:textId="77777777" w:rsidTr="00C948AE">
      <w:trPr>
        <w:trHeight w:val="370"/>
      </w:trPr>
      <w:tc>
        <w:tcPr>
          <w:tcW w:w="1147" w:type="pct"/>
          <w:vMerge/>
          <w:tcBorders>
            <w:top w:val="single" w:sz="4" w:space="0" w:color="auto"/>
            <w:left w:val="single" w:sz="4" w:space="0" w:color="auto"/>
            <w:bottom w:val="single" w:sz="4" w:space="0" w:color="auto"/>
            <w:right w:val="single" w:sz="4" w:space="0" w:color="auto"/>
          </w:tcBorders>
          <w:vAlign w:val="center"/>
          <w:hideMark/>
        </w:tcPr>
        <w:p w14:paraId="49B0CE67" w14:textId="77777777" w:rsidR="00F31311" w:rsidRPr="00D15194" w:rsidRDefault="00F31311" w:rsidP="00C948AE">
          <w:pPr>
            <w:spacing w:after="0" w:line="240" w:lineRule="auto"/>
            <w:rPr>
              <w:rFonts w:ascii="Arial" w:eastAsia="Times New Roman" w:hAnsi="Arial" w:cs="Arial"/>
              <w:color w:val="000000"/>
              <w:lang w:eastAsia="es-CO"/>
            </w:rPr>
          </w:pPr>
        </w:p>
      </w:tc>
      <w:tc>
        <w:tcPr>
          <w:tcW w:w="2772" w:type="pct"/>
          <w:vMerge/>
          <w:tcBorders>
            <w:top w:val="single" w:sz="4" w:space="0" w:color="auto"/>
            <w:left w:val="single" w:sz="4" w:space="0" w:color="auto"/>
            <w:bottom w:val="single" w:sz="4" w:space="0" w:color="auto"/>
            <w:right w:val="single" w:sz="4" w:space="0" w:color="auto"/>
          </w:tcBorders>
          <w:vAlign w:val="center"/>
          <w:hideMark/>
        </w:tcPr>
        <w:p w14:paraId="1EEB3104" w14:textId="77777777" w:rsidR="00F31311" w:rsidRPr="00D15194" w:rsidRDefault="00F31311" w:rsidP="00C948AE">
          <w:pPr>
            <w:spacing w:after="0" w:line="240" w:lineRule="auto"/>
            <w:rPr>
              <w:rFonts w:ascii="Arial" w:eastAsia="Times New Roman" w:hAnsi="Arial" w:cs="Arial"/>
              <w:color w:val="000000"/>
              <w:sz w:val="28"/>
              <w:szCs w:val="28"/>
              <w:lang w:eastAsia="es-CO"/>
            </w:rPr>
          </w:pPr>
        </w:p>
      </w:tc>
      <w:tc>
        <w:tcPr>
          <w:tcW w:w="1081" w:type="pct"/>
          <w:tcBorders>
            <w:top w:val="single" w:sz="4" w:space="0" w:color="000000"/>
            <w:left w:val="single" w:sz="4" w:space="0" w:color="auto"/>
            <w:bottom w:val="single" w:sz="4" w:space="0" w:color="000000"/>
            <w:right w:val="single" w:sz="4" w:space="0" w:color="000000"/>
          </w:tcBorders>
          <w:shd w:val="clear" w:color="auto" w:fill="auto"/>
          <w:noWrap/>
          <w:vAlign w:val="center"/>
          <w:hideMark/>
        </w:tcPr>
        <w:p w14:paraId="3FC43A00" w14:textId="50646EF6" w:rsidR="00F31311" w:rsidRPr="008B03F1" w:rsidRDefault="001F58D5" w:rsidP="00B73C3D">
          <w:pPr>
            <w:spacing w:after="0" w:line="240" w:lineRule="auto"/>
            <w:rPr>
              <w:rFonts w:ascii="Arial" w:eastAsia="Times New Roman" w:hAnsi="Arial" w:cs="Arial"/>
              <w:color w:val="000000"/>
              <w:sz w:val="16"/>
              <w:szCs w:val="16"/>
              <w:lang w:eastAsia="es-CO"/>
            </w:rPr>
          </w:pPr>
          <w:r w:rsidRPr="001F58D5">
            <w:rPr>
              <w:rFonts w:ascii="Arial" w:eastAsia="Times New Roman" w:hAnsi="Arial" w:cs="Arial"/>
              <w:color w:val="000000"/>
              <w:sz w:val="16"/>
              <w:szCs w:val="16"/>
              <w:lang w:eastAsia="es-CO"/>
            </w:rPr>
            <w:t>VIGENCIA: Noviembre 2021</w:t>
          </w:r>
        </w:p>
      </w:tc>
    </w:tr>
    <w:tr w:rsidR="00F31311" w:rsidRPr="00D15194" w14:paraId="01AE9A4D" w14:textId="77777777" w:rsidTr="00C948AE">
      <w:trPr>
        <w:trHeight w:val="370"/>
      </w:trPr>
      <w:tc>
        <w:tcPr>
          <w:tcW w:w="1147" w:type="pct"/>
          <w:vMerge/>
          <w:tcBorders>
            <w:top w:val="single" w:sz="4" w:space="0" w:color="auto"/>
            <w:left w:val="single" w:sz="4" w:space="0" w:color="auto"/>
            <w:bottom w:val="single" w:sz="4" w:space="0" w:color="auto"/>
            <w:right w:val="single" w:sz="4" w:space="0" w:color="auto"/>
          </w:tcBorders>
          <w:vAlign w:val="center"/>
        </w:tcPr>
        <w:p w14:paraId="0A3CA7F3" w14:textId="77777777" w:rsidR="00F31311" w:rsidRPr="00D15194" w:rsidRDefault="00F31311" w:rsidP="00C948AE">
          <w:pPr>
            <w:spacing w:after="0" w:line="240" w:lineRule="auto"/>
            <w:rPr>
              <w:rFonts w:ascii="Arial" w:eastAsia="Times New Roman" w:hAnsi="Arial" w:cs="Arial"/>
              <w:color w:val="000000"/>
              <w:lang w:eastAsia="es-CO"/>
            </w:rPr>
          </w:pPr>
        </w:p>
      </w:tc>
      <w:tc>
        <w:tcPr>
          <w:tcW w:w="2772" w:type="pct"/>
          <w:vMerge/>
          <w:tcBorders>
            <w:top w:val="single" w:sz="4" w:space="0" w:color="auto"/>
            <w:left w:val="single" w:sz="4" w:space="0" w:color="auto"/>
            <w:bottom w:val="single" w:sz="4" w:space="0" w:color="auto"/>
            <w:right w:val="single" w:sz="4" w:space="0" w:color="auto"/>
          </w:tcBorders>
          <w:vAlign w:val="center"/>
        </w:tcPr>
        <w:p w14:paraId="5403C408" w14:textId="77777777" w:rsidR="00F31311" w:rsidRPr="00D15194" w:rsidRDefault="00F31311" w:rsidP="00C948AE">
          <w:pPr>
            <w:spacing w:after="0" w:line="240" w:lineRule="auto"/>
            <w:rPr>
              <w:rFonts w:ascii="Arial" w:eastAsia="Times New Roman" w:hAnsi="Arial" w:cs="Arial"/>
              <w:color w:val="000000"/>
              <w:sz w:val="28"/>
              <w:szCs w:val="28"/>
              <w:lang w:eastAsia="es-CO"/>
            </w:rPr>
          </w:pPr>
        </w:p>
      </w:tc>
      <w:tc>
        <w:tcPr>
          <w:tcW w:w="1081" w:type="pct"/>
          <w:tcBorders>
            <w:top w:val="single" w:sz="4" w:space="0" w:color="000000"/>
            <w:left w:val="single" w:sz="4" w:space="0" w:color="auto"/>
            <w:bottom w:val="single" w:sz="4" w:space="0" w:color="000000"/>
            <w:right w:val="single" w:sz="4" w:space="0" w:color="000000"/>
          </w:tcBorders>
          <w:shd w:val="clear" w:color="auto" w:fill="auto"/>
          <w:noWrap/>
          <w:vAlign w:val="center"/>
        </w:tcPr>
        <w:p w14:paraId="2F844DEF" w14:textId="12A71113" w:rsidR="00F31311" w:rsidRPr="008B03F1" w:rsidRDefault="008B03F1" w:rsidP="00B73C3D">
          <w:pPr>
            <w:spacing w:after="0" w:line="240" w:lineRule="auto"/>
            <w:rPr>
              <w:rFonts w:ascii="Arial" w:eastAsia="Times New Roman" w:hAnsi="Arial" w:cs="Arial"/>
              <w:color w:val="000000"/>
              <w:sz w:val="16"/>
              <w:szCs w:val="16"/>
              <w:lang w:eastAsia="es-CO"/>
            </w:rPr>
          </w:pPr>
          <w:r w:rsidRPr="008B03F1">
            <w:rPr>
              <w:rFonts w:ascii="Arial" w:eastAsia="Times New Roman" w:hAnsi="Arial" w:cs="Arial"/>
              <w:color w:val="000000"/>
              <w:sz w:val="16"/>
              <w:szCs w:val="16"/>
              <w:lang w:eastAsia="es-CO"/>
            </w:rPr>
            <w:t>VERSION: 0</w:t>
          </w:r>
          <w:r w:rsidR="001F58D5">
            <w:rPr>
              <w:rFonts w:ascii="Arial" w:eastAsia="Times New Roman" w:hAnsi="Arial" w:cs="Arial"/>
              <w:color w:val="000000"/>
              <w:sz w:val="16"/>
              <w:szCs w:val="16"/>
              <w:lang w:eastAsia="es-CO"/>
            </w:rPr>
            <w:t>1</w:t>
          </w:r>
        </w:p>
      </w:tc>
    </w:tr>
    <w:tr w:rsidR="00F31311" w:rsidRPr="00D15194" w14:paraId="44EAA1A9" w14:textId="77777777" w:rsidTr="00C948AE">
      <w:trPr>
        <w:trHeight w:val="408"/>
      </w:trPr>
      <w:tc>
        <w:tcPr>
          <w:tcW w:w="1147" w:type="pct"/>
          <w:vMerge/>
          <w:tcBorders>
            <w:top w:val="single" w:sz="4" w:space="0" w:color="auto"/>
            <w:left w:val="single" w:sz="4" w:space="0" w:color="auto"/>
            <w:bottom w:val="single" w:sz="4" w:space="0" w:color="auto"/>
            <w:right w:val="single" w:sz="4" w:space="0" w:color="auto"/>
          </w:tcBorders>
          <w:vAlign w:val="center"/>
          <w:hideMark/>
        </w:tcPr>
        <w:p w14:paraId="22623299" w14:textId="77777777" w:rsidR="00F31311" w:rsidRPr="00D15194" w:rsidRDefault="00F31311" w:rsidP="00C948AE">
          <w:pPr>
            <w:spacing w:after="0" w:line="240" w:lineRule="auto"/>
            <w:rPr>
              <w:rFonts w:ascii="Arial" w:eastAsia="Times New Roman" w:hAnsi="Arial" w:cs="Arial"/>
              <w:color w:val="000000"/>
              <w:lang w:eastAsia="es-CO"/>
            </w:rPr>
          </w:pPr>
        </w:p>
      </w:tc>
      <w:tc>
        <w:tcPr>
          <w:tcW w:w="2772" w:type="pct"/>
          <w:vMerge/>
          <w:tcBorders>
            <w:top w:val="single" w:sz="4" w:space="0" w:color="auto"/>
            <w:left w:val="single" w:sz="4" w:space="0" w:color="auto"/>
            <w:bottom w:val="single" w:sz="4" w:space="0" w:color="auto"/>
            <w:right w:val="single" w:sz="4" w:space="0" w:color="auto"/>
          </w:tcBorders>
          <w:vAlign w:val="center"/>
          <w:hideMark/>
        </w:tcPr>
        <w:p w14:paraId="2C3BDB05" w14:textId="77777777" w:rsidR="00F31311" w:rsidRPr="00D15194" w:rsidRDefault="00F31311" w:rsidP="00C948AE">
          <w:pPr>
            <w:spacing w:after="0" w:line="240" w:lineRule="auto"/>
            <w:rPr>
              <w:rFonts w:ascii="Arial" w:eastAsia="Times New Roman" w:hAnsi="Arial" w:cs="Arial"/>
              <w:color w:val="000000"/>
              <w:sz w:val="28"/>
              <w:szCs w:val="28"/>
              <w:lang w:eastAsia="es-CO"/>
            </w:rPr>
          </w:pPr>
        </w:p>
      </w:tc>
      <w:tc>
        <w:tcPr>
          <w:tcW w:w="1081" w:type="pct"/>
          <w:tcBorders>
            <w:top w:val="single" w:sz="4" w:space="0" w:color="000000"/>
            <w:left w:val="single" w:sz="4" w:space="0" w:color="auto"/>
            <w:bottom w:val="single" w:sz="4" w:space="0" w:color="000000"/>
            <w:right w:val="single" w:sz="4" w:space="0" w:color="000000"/>
          </w:tcBorders>
          <w:shd w:val="clear" w:color="auto" w:fill="auto"/>
          <w:noWrap/>
          <w:vAlign w:val="center"/>
          <w:hideMark/>
        </w:tcPr>
        <w:sdt>
          <w:sdtPr>
            <w:rPr>
              <w:rFonts w:ascii="Arial" w:hAnsi="Arial" w:cs="Arial"/>
              <w:sz w:val="16"/>
              <w:szCs w:val="16"/>
            </w:rPr>
            <w:id w:val="-1318336367"/>
            <w:docPartObj>
              <w:docPartGallery w:val="Page Numbers (Top of Page)"/>
              <w:docPartUnique/>
            </w:docPartObj>
          </w:sdtPr>
          <w:sdtEndPr/>
          <w:sdtContent>
            <w:p w14:paraId="0F4E2B95" w14:textId="77777777" w:rsidR="00F31311" w:rsidRPr="008B03F1" w:rsidRDefault="00F31311" w:rsidP="00C948AE">
              <w:pPr>
                <w:pStyle w:val="Encabezado"/>
                <w:rPr>
                  <w:rFonts w:ascii="Arial" w:hAnsi="Arial" w:cs="Arial"/>
                  <w:sz w:val="16"/>
                  <w:szCs w:val="16"/>
                </w:rPr>
              </w:pPr>
              <w:r w:rsidRPr="008B03F1">
                <w:rPr>
                  <w:rFonts w:ascii="Arial" w:hAnsi="Arial" w:cs="Arial"/>
                  <w:sz w:val="16"/>
                  <w:szCs w:val="16"/>
                  <w:lang w:val="es-ES"/>
                </w:rPr>
                <w:t xml:space="preserve">Página </w:t>
              </w:r>
              <w:r w:rsidRPr="008B03F1">
                <w:rPr>
                  <w:rFonts w:ascii="Arial" w:hAnsi="Arial" w:cs="Arial"/>
                  <w:b/>
                  <w:bCs/>
                  <w:sz w:val="16"/>
                  <w:szCs w:val="16"/>
                </w:rPr>
                <w:fldChar w:fldCharType="begin"/>
              </w:r>
              <w:r w:rsidRPr="008B03F1">
                <w:rPr>
                  <w:rFonts w:ascii="Arial" w:hAnsi="Arial" w:cs="Arial"/>
                  <w:b/>
                  <w:bCs/>
                  <w:sz w:val="16"/>
                  <w:szCs w:val="16"/>
                </w:rPr>
                <w:instrText>PAGE</w:instrText>
              </w:r>
              <w:r w:rsidRPr="008B03F1">
                <w:rPr>
                  <w:rFonts w:ascii="Arial" w:hAnsi="Arial" w:cs="Arial"/>
                  <w:b/>
                  <w:bCs/>
                  <w:sz w:val="16"/>
                  <w:szCs w:val="16"/>
                </w:rPr>
                <w:fldChar w:fldCharType="separate"/>
              </w:r>
              <w:r w:rsidR="00187A2E">
                <w:rPr>
                  <w:rFonts w:ascii="Arial" w:hAnsi="Arial" w:cs="Arial"/>
                  <w:b/>
                  <w:bCs/>
                  <w:noProof/>
                  <w:sz w:val="16"/>
                  <w:szCs w:val="16"/>
                </w:rPr>
                <w:t>2</w:t>
              </w:r>
              <w:r w:rsidRPr="008B03F1">
                <w:rPr>
                  <w:rFonts w:ascii="Arial" w:hAnsi="Arial" w:cs="Arial"/>
                  <w:b/>
                  <w:bCs/>
                  <w:sz w:val="16"/>
                  <w:szCs w:val="16"/>
                </w:rPr>
                <w:fldChar w:fldCharType="end"/>
              </w:r>
              <w:r w:rsidRPr="008B03F1">
                <w:rPr>
                  <w:rFonts w:ascii="Arial" w:hAnsi="Arial" w:cs="Arial"/>
                  <w:sz w:val="16"/>
                  <w:szCs w:val="16"/>
                  <w:lang w:val="es-ES"/>
                </w:rPr>
                <w:t xml:space="preserve"> de </w:t>
              </w:r>
              <w:r w:rsidRPr="008B03F1">
                <w:rPr>
                  <w:rFonts w:ascii="Arial" w:hAnsi="Arial" w:cs="Arial"/>
                  <w:b/>
                  <w:bCs/>
                  <w:sz w:val="16"/>
                  <w:szCs w:val="16"/>
                </w:rPr>
                <w:fldChar w:fldCharType="begin"/>
              </w:r>
              <w:r w:rsidRPr="008B03F1">
                <w:rPr>
                  <w:rFonts w:ascii="Arial" w:hAnsi="Arial" w:cs="Arial"/>
                  <w:b/>
                  <w:bCs/>
                  <w:sz w:val="16"/>
                  <w:szCs w:val="16"/>
                </w:rPr>
                <w:instrText>NUMPAGES</w:instrText>
              </w:r>
              <w:r w:rsidRPr="008B03F1">
                <w:rPr>
                  <w:rFonts w:ascii="Arial" w:hAnsi="Arial" w:cs="Arial"/>
                  <w:b/>
                  <w:bCs/>
                  <w:sz w:val="16"/>
                  <w:szCs w:val="16"/>
                </w:rPr>
                <w:fldChar w:fldCharType="separate"/>
              </w:r>
              <w:r w:rsidR="00187A2E">
                <w:rPr>
                  <w:rFonts w:ascii="Arial" w:hAnsi="Arial" w:cs="Arial"/>
                  <w:b/>
                  <w:bCs/>
                  <w:noProof/>
                  <w:sz w:val="16"/>
                  <w:szCs w:val="16"/>
                </w:rPr>
                <w:t>2</w:t>
              </w:r>
              <w:r w:rsidRPr="008B03F1">
                <w:rPr>
                  <w:rFonts w:ascii="Arial" w:hAnsi="Arial" w:cs="Arial"/>
                  <w:b/>
                  <w:bCs/>
                  <w:sz w:val="16"/>
                  <w:szCs w:val="16"/>
                </w:rPr>
                <w:fldChar w:fldCharType="end"/>
              </w:r>
            </w:p>
          </w:sdtContent>
        </w:sdt>
      </w:tc>
    </w:tr>
  </w:tbl>
  <w:p w14:paraId="7848A283" w14:textId="77777777" w:rsidR="00D15194" w:rsidRDefault="00D15194" w:rsidP="00F41D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47F4"/>
    <w:multiLevelType w:val="hybridMultilevel"/>
    <w:tmpl w:val="2C926CB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B0F6FEA"/>
    <w:multiLevelType w:val="hybridMultilevel"/>
    <w:tmpl w:val="74685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BB96029"/>
    <w:multiLevelType w:val="hybridMultilevel"/>
    <w:tmpl w:val="AF0027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403722521">
    <w:abstractNumId w:val="1"/>
  </w:num>
  <w:num w:numId="2" w16cid:durableId="1346860819">
    <w:abstractNumId w:val="0"/>
  </w:num>
  <w:num w:numId="3" w16cid:durableId="950287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194"/>
    <w:rsid w:val="0001754F"/>
    <w:rsid w:val="00064F3D"/>
    <w:rsid w:val="00090362"/>
    <w:rsid w:val="000A11DD"/>
    <w:rsid w:val="000B3C1B"/>
    <w:rsid w:val="000F3CBB"/>
    <w:rsid w:val="00160DA0"/>
    <w:rsid w:val="00160E9D"/>
    <w:rsid w:val="001779C1"/>
    <w:rsid w:val="00187A2E"/>
    <w:rsid w:val="001A614E"/>
    <w:rsid w:val="001A687F"/>
    <w:rsid w:val="001B168F"/>
    <w:rsid w:val="001D02FD"/>
    <w:rsid w:val="001F58D5"/>
    <w:rsid w:val="00273EA8"/>
    <w:rsid w:val="002C1BEE"/>
    <w:rsid w:val="002D239F"/>
    <w:rsid w:val="002D653B"/>
    <w:rsid w:val="002E41B5"/>
    <w:rsid w:val="00307903"/>
    <w:rsid w:val="00314FB1"/>
    <w:rsid w:val="003200F7"/>
    <w:rsid w:val="003211C8"/>
    <w:rsid w:val="003219EF"/>
    <w:rsid w:val="0032416C"/>
    <w:rsid w:val="00324910"/>
    <w:rsid w:val="00346646"/>
    <w:rsid w:val="00354936"/>
    <w:rsid w:val="003771FF"/>
    <w:rsid w:val="003911CE"/>
    <w:rsid w:val="00394CC7"/>
    <w:rsid w:val="003B478B"/>
    <w:rsid w:val="003C4178"/>
    <w:rsid w:val="003F2D46"/>
    <w:rsid w:val="003F43B4"/>
    <w:rsid w:val="00437A45"/>
    <w:rsid w:val="004622A2"/>
    <w:rsid w:val="004A7703"/>
    <w:rsid w:val="004B35DF"/>
    <w:rsid w:val="004C63A9"/>
    <w:rsid w:val="004D764E"/>
    <w:rsid w:val="004F527C"/>
    <w:rsid w:val="005670A1"/>
    <w:rsid w:val="005804FD"/>
    <w:rsid w:val="00582E22"/>
    <w:rsid w:val="005E14E1"/>
    <w:rsid w:val="005F244D"/>
    <w:rsid w:val="005F4F9A"/>
    <w:rsid w:val="0060267D"/>
    <w:rsid w:val="00606483"/>
    <w:rsid w:val="006209AD"/>
    <w:rsid w:val="006268B9"/>
    <w:rsid w:val="00637782"/>
    <w:rsid w:val="00644305"/>
    <w:rsid w:val="006B5A6A"/>
    <w:rsid w:val="006B6747"/>
    <w:rsid w:val="006C2378"/>
    <w:rsid w:val="006D766A"/>
    <w:rsid w:val="0070420E"/>
    <w:rsid w:val="00705A0C"/>
    <w:rsid w:val="00706086"/>
    <w:rsid w:val="00713CEC"/>
    <w:rsid w:val="007307B7"/>
    <w:rsid w:val="007979CA"/>
    <w:rsid w:val="007A481A"/>
    <w:rsid w:val="007B227B"/>
    <w:rsid w:val="007E7116"/>
    <w:rsid w:val="00804D2F"/>
    <w:rsid w:val="00820769"/>
    <w:rsid w:val="00833F66"/>
    <w:rsid w:val="00836EC4"/>
    <w:rsid w:val="008518F5"/>
    <w:rsid w:val="0087590A"/>
    <w:rsid w:val="008B03F1"/>
    <w:rsid w:val="008B1C25"/>
    <w:rsid w:val="008D47E0"/>
    <w:rsid w:val="008E3057"/>
    <w:rsid w:val="008E79AF"/>
    <w:rsid w:val="008F4FF0"/>
    <w:rsid w:val="009010EC"/>
    <w:rsid w:val="0094239A"/>
    <w:rsid w:val="00954A7A"/>
    <w:rsid w:val="00970937"/>
    <w:rsid w:val="00971445"/>
    <w:rsid w:val="009736B4"/>
    <w:rsid w:val="0097632E"/>
    <w:rsid w:val="009A6AF7"/>
    <w:rsid w:val="00A00397"/>
    <w:rsid w:val="00A04CAD"/>
    <w:rsid w:val="00A21802"/>
    <w:rsid w:val="00A36963"/>
    <w:rsid w:val="00A75F2E"/>
    <w:rsid w:val="00A8215E"/>
    <w:rsid w:val="00A96B09"/>
    <w:rsid w:val="00AC0FBE"/>
    <w:rsid w:val="00AD065D"/>
    <w:rsid w:val="00AD4B3F"/>
    <w:rsid w:val="00AD7D45"/>
    <w:rsid w:val="00AF0174"/>
    <w:rsid w:val="00B0670E"/>
    <w:rsid w:val="00B121E5"/>
    <w:rsid w:val="00B27D38"/>
    <w:rsid w:val="00B34454"/>
    <w:rsid w:val="00B377C8"/>
    <w:rsid w:val="00B52DC8"/>
    <w:rsid w:val="00B73C3D"/>
    <w:rsid w:val="00B87F50"/>
    <w:rsid w:val="00BF0387"/>
    <w:rsid w:val="00C10B7D"/>
    <w:rsid w:val="00C643D0"/>
    <w:rsid w:val="00C87893"/>
    <w:rsid w:val="00C948AE"/>
    <w:rsid w:val="00CA58DA"/>
    <w:rsid w:val="00CF3992"/>
    <w:rsid w:val="00D15194"/>
    <w:rsid w:val="00D1711A"/>
    <w:rsid w:val="00D24E20"/>
    <w:rsid w:val="00D3033A"/>
    <w:rsid w:val="00D30AC5"/>
    <w:rsid w:val="00D404CB"/>
    <w:rsid w:val="00D46A9F"/>
    <w:rsid w:val="00D66135"/>
    <w:rsid w:val="00D84E42"/>
    <w:rsid w:val="00D926F8"/>
    <w:rsid w:val="00DC6C3E"/>
    <w:rsid w:val="00DF3C72"/>
    <w:rsid w:val="00E13E43"/>
    <w:rsid w:val="00E32B05"/>
    <w:rsid w:val="00E33BF0"/>
    <w:rsid w:val="00E423B8"/>
    <w:rsid w:val="00E52D15"/>
    <w:rsid w:val="00E54758"/>
    <w:rsid w:val="00E8286F"/>
    <w:rsid w:val="00E861A1"/>
    <w:rsid w:val="00E951AF"/>
    <w:rsid w:val="00E9687B"/>
    <w:rsid w:val="00EF7E47"/>
    <w:rsid w:val="00F0226D"/>
    <w:rsid w:val="00F31311"/>
    <w:rsid w:val="00F36C60"/>
    <w:rsid w:val="00F41D00"/>
    <w:rsid w:val="00F73E99"/>
    <w:rsid w:val="00F75906"/>
    <w:rsid w:val="00F83CD0"/>
    <w:rsid w:val="00FA1EA2"/>
    <w:rsid w:val="00FB1318"/>
    <w:rsid w:val="00FC163F"/>
    <w:rsid w:val="00FF39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DABE"/>
  <w15:docId w15:val="{79C4234F-7D7A-4EBB-8E3F-23EDDD75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D15194"/>
    <w:pPr>
      <w:spacing w:before="100" w:beforeAutospacing="1" w:after="100" w:afterAutospacing="1" w:line="240" w:lineRule="auto"/>
    </w:pPr>
    <w:rPr>
      <w:rFonts w:ascii="Times New Roman" w:eastAsiaTheme="minorEastAsia" w:hAnsi="Times New Roman" w:cs="Times New Roman"/>
      <w:sz w:val="24"/>
      <w:szCs w:val="24"/>
      <w:lang w:eastAsia="es-CO"/>
    </w:rPr>
  </w:style>
  <w:style w:type="paragraph" w:styleId="Encabezado">
    <w:name w:val="header"/>
    <w:basedOn w:val="Normal"/>
    <w:link w:val="EncabezadoCar"/>
    <w:uiPriority w:val="99"/>
    <w:unhideWhenUsed/>
    <w:rsid w:val="00D151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5194"/>
  </w:style>
  <w:style w:type="paragraph" w:styleId="Piedepgina">
    <w:name w:val="footer"/>
    <w:basedOn w:val="Normal"/>
    <w:link w:val="PiedepginaCar"/>
    <w:uiPriority w:val="99"/>
    <w:unhideWhenUsed/>
    <w:rsid w:val="00D151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5194"/>
  </w:style>
  <w:style w:type="paragraph" w:styleId="Textodeglobo">
    <w:name w:val="Balloon Text"/>
    <w:basedOn w:val="Normal"/>
    <w:link w:val="TextodegloboCar"/>
    <w:uiPriority w:val="99"/>
    <w:semiHidden/>
    <w:unhideWhenUsed/>
    <w:rsid w:val="003211C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11C8"/>
    <w:rPr>
      <w:rFonts w:ascii="Segoe UI" w:hAnsi="Segoe UI" w:cs="Segoe UI"/>
      <w:sz w:val="18"/>
      <w:szCs w:val="18"/>
    </w:rPr>
  </w:style>
  <w:style w:type="table" w:styleId="Tablaconcuadrcula">
    <w:name w:val="Table Grid"/>
    <w:basedOn w:val="Tablanormal"/>
    <w:uiPriority w:val="39"/>
    <w:rsid w:val="004F52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4F527C"/>
    <w:pPr>
      <w:spacing w:after="0" w:line="240" w:lineRule="auto"/>
    </w:pPr>
  </w:style>
  <w:style w:type="paragraph" w:styleId="Prrafodelista">
    <w:name w:val="List Paragraph"/>
    <w:basedOn w:val="Normal"/>
    <w:uiPriority w:val="34"/>
    <w:qFormat/>
    <w:rsid w:val="00836EC4"/>
    <w:pPr>
      <w:ind w:left="720"/>
      <w:contextualSpacing/>
    </w:pPr>
  </w:style>
  <w:style w:type="character" w:customStyle="1" w:styleId="contentpasted0">
    <w:name w:val="contentpasted0"/>
    <w:basedOn w:val="Fuentedeprrafopredeter"/>
    <w:rsid w:val="0073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63732">
      <w:bodyDiv w:val="1"/>
      <w:marLeft w:val="0"/>
      <w:marRight w:val="0"/>
      <w:marTop w:val="0"/>
      <w:marBottom w:val="0"/>
      <w:divBdr>
        <w:top w:val="none" w:sz="0" w:space="0" w:color="auto"/>
        <w:left w:val="none" w:sz="0" w:space="0" w:color="auto"/>
        <w:bottom w:val="none" w:sz="0" w:space="0" w:color="auto"/>
        <w:right w:val="none" w:sz="0" w:space="0" w:color="auto"/>
      </w:divBdr>
    </w:div>
    <w:div w:id="211699710">
      <w:bodyDiv w:val="1"/>
      <w:marLeft w:val="0"/>
      <w:marRight w:val="0"/>
      <w:marTop w:val="0"/>
      <w:marBottom w:val="0"/>
      <w:divBdr>
        <w:top w:val="none" w:sz="0" w:space="0" w:color="auto"/>
        <w:left w:val="none" w:sz="0" w:space="0" w:color="auto"/>
        <w:bottom w:val="none" w:sz="0" w:space="0" w:color="auto"/>
        <w:right w:val="none" w:sz="0" w:space="0" w:color="auto"/>
      </w:divBdr>
    </w:div>
    <w:div w:id="988825920">
      <w:bodyDiv w:val="1"/>
      <w:marLeft w:val="0"/>
      <w:marRight w:val="0"/>
      <w:marTop w:val="0"/>
      <w:marBottom w:val="0"/>
      <w:divBdr>
        <w:top w:val="none" w:sz="0" w:space="0" w:color="auto"/>
        <w:left w:val="none" w:sz="0" w:space="0" w:color="auto"/>
        <w:bottom w:val="none" w:sz="0" w:space="0" w:color="auto"/>
        <w:right w:val="none" w:sz="0" w:space="0" w:color="auto"/>
      </w:divBdr>
    </w:div>
    <w:div w:id="1406682654">
      <w:bodyDiv w:val="1"/>
      <w:marLeft w:val="0"/>
      <w:marRight w:val="0"/>
      <w:marTop w:val="0"/>
      <w:marBottom w:val="0"/>
      <w:divBdr>
        <w:top w:val="none" w:sz="0" w:space="0" w:color="auto"/>
        <w:left w:val="none" w:sz="0" w:space="0" w:color="auto"/>
        <w:bottom w:val="none" w:sz="0" w:space="0" w:color="auto"/>
        <w:right w:val="none" w:sz="0" w:space="0" w:color="auto"/>
      </w:divBdr>
      <w:divsChild>
        <w:div w:id="2083331332">
          <w:marLeft w:val="0"/>
          <w:marRight w:val="0"/>
          <w:marTop w:val="0"/>
          <w:marBottom w:val="0"/>
          <w:divBdr>
            <w:top w:val="none" w:sz="0" w:space="0" w:color="auto"/>
            <w:left w:val="none" w:sz="0" w:space="0" w:color="auto"/>
            <w:bottom w:val="none" w:sz="0" w:space="0" w:color="auto"/>
            <w:right w:val="none" w:sz="0" w:space="0" w:color="auto"/>
          </w:divBdr>
        </w:div>
        <w:div w:id="570850538">
          <w:marLeft w:val="0"/>
          <w:marRight w:val="0"/>
          <w:marTop w:val="0"/>
          <w:marBottom w:val="0"/>
          <w:divBdr>
            <w:top w:val="none" w:sz="0" w:space="0" w:color="auto"/>
            <w:left w:val="none" w:sz="0" w:space="0" w:color="auto"/>
            <w:bottom w:val="none" w:sz="0" w:space="0" w:color="auto"/>
            <w:right w:val="none" w:sz="0" w:space="0" w:color="auto"/>
          </w:divBdr>
        </w:div>
      </w:divsChild>
    </w:div>
    <w:div w:id="1662073983">
      <w:bodyDiv w:val="1"/>
      <w:marLeft w:val="0"/>
      <w:marRight w:val="0"/>
      <w:marTop w:val="0"/>
      <w:marBottom w:val="0"/>
      <w:divBdr>
        <w:top w:val="none" w:sz="0" w:space="0" w:color="auto"/>
        <w:left w:val="none" w:sz="0" w:space="0" w:color="auto"/>
        <w:bottom w:val="none" w:sz="0" w:space="0" w:color="auto"/>
        <w:right w:val="none" w:sz="0" w:space="0" w:color="auto"/>
      </w:divBdr>
    </w:div>
    <w:div w:id="1978298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E7DF4-5712-4610-9B9C-10204A2C7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2251</TotalTime>
  <Pages>6</Pages>
  <Words>2680</Words>
  <Characters>14741</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GARANTIA DE LA CALIDAD</dc:creator>
  <cp:lastModifiedBy>ROSMERY WEHEDEKING</cp:lastModifiedBy>
  <cp:revision>34</cp:revision>
  <cp:lastPrinted>2022-09-21T13:28:00Z</cp:lastPrinted>
  <dcterms:created xsi:type="dcterms:W3CDTF">2023-06-15T17:21:00Z</dcterms:created>
  <dcterms:modified xsi:type="dcterms:W3CDTF">2023-06-28T19:50:00Z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28158e5fd667f087ede1e64527cfebf4501e3d9eb95eac7c97f87ba7f6bff476</vt:lpwstr>
  </property>
</Properties>
</file>